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5F0F4" w14:textId="407ACC10" w:rsidR="00EF2451" w:rsidRDefault="00EF2451">
      <w:pPr>
        <w:rPr>
          <w:b/>
          <w:smallCaps/>
          <w:color w:val="45A7AA"/>
          <w:sz w:val="24"/>
          <w:szCs w:val="24"/>
        </w:rPr>
      </w:pPr>
      <w:r>
        <w:rPr>
          <w:noProof/>
          <w:color w:val="364949" w:themeColor="text1" w:themeTint="D9"/>
        </w:rPr>
        <mc:AlternateContent>
          <mc:Choice Requires="wps">
            <w:drawing>
              <wp:anchor distT="0" distB="0" distL="114300" distR="114300" simplePos="0" relativeHeight="251661312" behindDoc="0" locked="0" layoutInCell="1" allowOverlap="1" wp14:anchorId="5A07D5D2" wp14:editId="017EDC95">
                <wp:simplePos x="0" y="0"/>
                <wp:positionH relativeFrom="margin">
                  <wp:align>left</wp:align>
                </wp:positionH>
                <wp:positionV relativeFrom="paragraph">
                  <wp:posOffset>6293181</wp:posOffset>
                </wp:positionV>
                <wp:extent cx="5128592" cy="2154804"/>
                <wp:effectExtent l="0" t="0" r="0" b="0"/>
                <wp:wrapNone/>
                <wp:docPr id="611030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592" cy="2154804"/>
                        </a:xfrm>
                        <a:prstGeom prst="rect">
                          <a:avLst/>
                        </a:prstGeom>
                        <a:noFill/>
                        <a:ln>
                          <a:noFill/>
                        </a:ln>
                        <a:extLst>
                          <a:ext uri="{909E8E84-426E-40DD-AFC4-6F175D3DCCD1}">
                            <a14:hiddenFill xmlns:a14="http://schemas.microsoft.com/office/drawing/2010/main">
                              <a:solidFill>
                                <a:schemeClr val="lt1">
                                  <a:lumMod val="100000"/>
                                  <a:lumOff val="0"/>
                                  <a:alpha val="7294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18D508" w14:textId="5B654DE2" w:rsidR="00EF2451" w:rsidRPr="00C260D8" w:rsidRDefault="00EF2451" w:rsidP="00EF2451">
                            <w:pPr>
                              <w:pStyle w:val="Deliverabletitle"/>
                            </w:pPr>
                            <w:bookmarkStart w:id="0" w:name="_Toc126068785"/>
                            <w:r>
                              <w:t>SUNDANSE Open Call #</w:t>
                            </w:r>
                            <w:r w:rsidR="002D0142">
                              <w:t>2</w:t>
                            </w:r>
                            <w:r>
                              <w:t xml:space="preserve"> – </w:t>
                            </w:r>
                            <w:r w:rsidR="00080D90">
                              <w:t xml:space="preserve">Freshwater Ecosystems </w:t>
                            </w:r>
                            <w:r>
                              <w:t>Call</w:t>
                            </w:r>
                          </w:p>
                          <w:bookmarkEnd w:id="0"/>
                          <w:p w14:paraId="24B1552C" w14:textId="200AF733" w:rsidR="00EF2451" w:rsidRPr="00EF2451" w:rsidRDefault="00EF2451" w:rsidP="00EF2451">
                            <w:pPr>
                              <w:pStyle w:val="Documentcoverdate"/>
                              <w:rPr>
                                <w:b/>
                                <w:bCs/>
                                <w:color w:val="F3AF1C" w:themeColor="accent4"/>
                                <w:sz w:val="32"/>
                                <w:szCs w:val="28"/>
                              </w:rPr>
                            </w:pPr>
                            <w:r w:rsidRPr="00EF2451">
                              <w:rPr>
                                <w:b/>
                                <w:bCs/>
                                <w:color w:val="F3AF1C" w:themeColor="accent4"/>
                                <w:sz w:val="32"/>
                                <w:szCs w:val="28"/>
                              </w:rPr>
                              <w:t>Annex 2 – Replication Activities Catalogue</w:t>
                            </w:r>
                          </w:p>
                        </w:txbxContent>
                      </wps:txbx>
                      <wps:bodyPr rot="0" vert="horz" wrap="square" lIns="91440" tIns="144000" rIns="91440" bIns="90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07D5D2" id="_x0000_t202" coordsize="21600,21600" o:spt="202" path="m,l,21600r21600,l21600,xe">
                <v:stroke joinstyle="miter"/>
                <v:path gradientshapeok="t" o:connecttype="rect"/>
              </v:shapetype>
              <v:shape id="Text Box 2" o:spid="_x0000_s1026" type="#_x0000_t202" style="position:absolute;margin-left:0;margin-top:495.55pt;width:403.85pt;height:169.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" filled="f" fillcolor="white [3201]" stroked="f" strokeweight=".5pt">
                <v:fill opacity="47802f"/>
                <v:textbox inset=",4mm,,2.5mm">
                  <w:txbxContent>
                    <w:p w14:paraId="0518D508" w14:textId="5B654DE2" w:rsidR="00EF2451" w:rsidRPr="00C260D8" w:rsidRDefault="00EF2451" w:rsidP="00EF2451">
                      <w:pPr>
                        <w:pStyle w:val="Deliverabletitle"/>
                      </w:pPr>
                      <w:bookmarkStart w:id="1" w:name="_Toc126068785"/>
                      <w:r>
                        <w:t>SUNDANSE Open Call #</w:t>
                      </w:r>
                      <w:r w:rsidR="002D0142">
                        <w:t>2</w:t>
                      </w:r>
                      <w:r>
                        <w:t xml:space="preserve"> – </w:t>
                      </w:r>
                      <w:r w:rsidR="00080D90">
                        <w:t xml:space="preserve">Freshwater Ecosystems </w:t>
                      </w:r>
                      <w:r>
                        <w:t>Call</w:t>
                      </w:r>
                    </w:p>
                    <w:bookmarkEnd w:id="1"/>
                    <w:p w14:paraId="24B1552C" w14:textId="200AF733" w:rsidR="00EF2451" w:rsidRPr="00EF2451" w:rsidRDefault="00EF2451" w:rsidP="00EF2451">
                      <w:pPr>
                        <w:pStyle w:val="Documentcoverdate"/>
                        <w:rPr>
                          <w:b/>
                          <w:bCs/>
                          <w:color w:val="F3AF1C" w:themeColor="accent4"/>
                          <w:sz w:val="32"/>
                          <w:szCs w:val="28"/>
                        </w:rPr>
                      </w:pPr>
                      <w:r w:rsidRPr="00EF2451">
                        <w:rPr>
                          <w:b/>
                          <w:bCs/>
                          <w:color w:val="F3AF1C" w:themeColor="accent4"/>
                          <w:sz w:val="32"/>
                          <w:szCs w:val="28"/>
                        </w:rPr>
                        <w:t>Annex 2 – Replication Activities Catalogue</w:t>
                      </w:r>
                    </w:p>
                  </w:txbxContent>
                </v:textbox>
                <w10:wrap anchorx="margin"/>
              </v:shape>
            </w:pict>
          </mc:Fallback>
        </mc:AlternateContent>
      </w:r>
      <w:r>
        <w:rPr>
          <w:noProof/>
        </w:rPr>
        <w:drawing>
          <wp:anchor distT="0" distB="0" distL="114300" distR="114300" simplePos="0" relativeHeight="251659264" behindDoc="1" locked="0" layoutInCell="1" allowOverlap="1" wp14:anchorId="32CB6AB8" wp14:editId="308E61A7">
            <wp:simplePos x="0" y="0"/>
            <wp:positionH relativeFrom="page">
              <wp:align>right</wp:align>
            </wp:positionH>
            <wp:positionV relativeFrom="paragraph">
              <wp:posOffset>-1524303</wp:posOffset>
            </wp:positionV>
            <wp:extent cx="7551531" cy="10688649"/>
            <wp:effectExtent l="0" t="0" r="0" b="0"/>
            <wp:wrapNone/>
            <wp:docPr id="1285521746" name="Picture 2" descr="A river with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21746" name="Picture 2" descr="A river with mountains in th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51531" cy="10688649"/>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mallCaps/>
          <w:color w:val="45A7AA"/>
          <w:sz w:val="24"/>
          <w:szCs w:val="24"/>
        </w:rPr>
        <w:br w:type="page"/>
      </w:r>
    </w:p>
    <w:p w14:paraId="21D95626" w14:textId="77777777" w:rsidR="00EF2451" w:rsidRDefault="00EF2451" w:rsidP="00EF2451">
      <w:pPr>
        <w:spacing w:before="360" w:after="80"/>
        <w:jc w:val="center"/>
        <w:rPr>
          <w:rFonts w:ascii="Georgia" w:eastAsia="Georgia" w:hAnsi="Georgia" w:cs="Georgia"/>
          <w:i/>
          <w:iCs/>
          <w:color w:val="666666"/>
          <w:sz w:val="24"/>
          <w:szCs w:val="24"/>
        </w:rPr>
      </w:pPr>
    </w:p>
    <w:p w14:paraId="34C3E057" w14:textId="6B82CC53" w:rsidR="00EF2451" w:rsidRDefault="00EF2451" w:rsidP="00EF2451">
      <w:pPr>
        <w:pStyle w:val="TITLE2"/>
        <w:jc w:val="center"/>
      </w:pPr>
      <w:r w:rsidRPr="1CA6CC23">
        <w:t xml:space="preserve">Catalogue of </w:t>
      </w:r>
      <w:r>
        <w:t xml:space="preserve">Replication </w:t>
      </w:r>
      <w:r w:rsidRPr="1CA6CC23">
        <w:t>Activities, Technologies and Services</w:t>
      </w:r>
    </w:p>
    <w:p w14:paraId="59824325" w14:textId="77777777" w:rsidR="00EF2451" w:rsidRPr="00CC0B11" w:rsidRDefault="00EF2451" w:rsidP="00EF2451">
      <w:pPr>
        <w:rPr>
          <w:rFonts w:ascii="Times New Roman" w:hAnsi="Times New Roman" w:cs="Times New Roman"/>
          <w:color w:val="1A2323" w:themeColor="text1"/>
        </w:rPr>
      </w:pPr>
      <w:r>
        <w:br/>
      </w:r>
      <w:r w:rsidRPr="00CC0B11">
        <w:rPr>
          <w:rFonts w:ascii="Times New Roman" w:hAnsi="Times New Roman" w:cs="Times New Roman"/>
          <w:color w:val="1A2323" w:themeColor="text1"/>
        </w:rPr>
        <w:t>Your proposal for this Open Call must be directly focused on the deployment, testing, and engagement of the developed SUNDANSE solutions within a new region.</w:t>
      </w:r>
    </w:p>
    <w:p w14:paraId="7556BE9A" w14:textId="77777777" w:rsidR="00EF2451" w:rsidRPr="00CC0B11" w:rsidRDefault="00EF2451" w:rsidP="00EF2451">
      <w:pPr>
        <w:rPr>
          <w:rFonts w:ascii="Times New Roman" w:hAnsi="Times New Roman" w:cs="Times New Roman"/>
          <w:color w:val="1A2323" w:themeColor="text1"/>
        </w:rPr>
      </w:pPr>
    </w:p>
    <w:p w14:paraId="1BDB03D2" w14:textId="77777777" w:rsidR="00EF2451" w:rsidRPr="00CC0B11" w:rsidRDefault="00EF2451" w:rsidP="00EF2451">
      <w:pPr>
        <w:rPr>
          <w:rFonts w:ascii="Times New Roman" w:hAnsi="Times New Roman" w:cs="Times New Roman"/>
          <w:color w:val="1A2323" w:themeColor="text1"/>
        </w:rPr>
      </w:pPr>
      <w:r w:rsidRPr="00CC0B11">
        <w:rPr>
          <w:rFonts w:ascii="Times New Roman" w:hAnsi="Times New Roman" w:cs="Times New Roman"/>
          <w:color w:val="1A2323" w:themeColor="text1"/>
        </w:rPr>
        <w:t>To be eligible, your project must specifically address at least one of the following core thematic areas related to sediment dynamics and river health:</w:t>
      </w:r>
    </w:p>
    <w:p w14:paraId="54E03C5D" w14:textId="77777777" w:rsidR="00080D90" w:rsidRDefault="00080D90">
      <w:pPr>
        <w:rPr>
          <w:rFonts w:ascii="Times New Roman" w:hAnsi="Times New Roman" w:cs="Times New Roman"/>
          <w:color w:val="1A2323" w:themeColor="text1"/>
        </w:rPr>
      </w:pPr>
    </w:p>
    <w:p w14:paraId="46AC1CDD" w14:textId="44FDBA48" w:rsidR="00093531" w:rsidRPr="00080D90" w:rsidRDefault="00A00DF6">
      <w:pPr>
        <w:rPr>
          <w:rFonts w:ascii="Times New Roman" w:hAnsi="Times New Roman" w:cs="Times New Roman"/>
          <w:color w:val="1A2323" w:themeColor="text1"/>
        </w:rPr>
      </w:pPr>
      <w:r w:rsidRPr="00080D90">
        <w:rPr>
          <w:rFonts w:ascii="Times New Roman" w:hAnsi="Times New Roman" w:cs="Times New Roman"/>
          <w:color w:val="1A2323" w:themeColor="text1"/>
        </w:rPr>
        <w:t>For the purposes of this Open Call, eligible water bodies include rivers and the following additional systems: anthropogenic systems (canal, reservoir, settling basin/tailings pond); transitional and coastal systems (river delta, estuary, coastal lagoon, tidal flat); lentic systems (open lake, closed lake, oxbow lake); and lotic systems (stream/creek, fluvial lake).</w:t>
      </w:r>
    </w:p>
    <w:p w14:paraId="635E5DCB" w14:textId="77777777" w:rsidR="00080D90" w:rsidRDefault="00080D90">
      <w:pPr>
        <w:rPr>
          <w:rFonts w:ascii="Times New Roman" w:hAnsi="Times New Roman" w:cs="Times New Roman"/>
          <w:color w:val="1A2323" w:themeColor="text1"/>
        </w:rPr>
      </w:pPr>
    </w:p>
    <w:p w14:paraId="53DC32A9" w14:textId="39789E51" w:rsidR="00093531" w:rsidRPr="00080D90" w:rsidRDefault="00A00DF6">
      <w:pPr>
        <w:rPr>
          <w:rFonts w:ascii="Times New Roman" w:hAnsi="Times New Roman" w:cs="Times New Roman"/>
          <w:color w:val="1A2323" w:themeColor="text1"/>
        </w:rPr>
      </w:pPr>
      <w:r w:rsidRPr="00080D90">
        <w:rPr>
          <w:rFonts w:ascii="Times New Roman" w:hAnsi="Times New Roman" w:cs="Times New Roman"/>
          <w:color w:val="1A2323" w:themeColor="text1"/>
        </w:rPr>
        <w:t>Proposals may also include testing of the SUNDANSE Toxicity Analyser being developed by the Israeli academic partner. This optional technology supports rapid toxicity screening of sediment-related samples to help identify ecotoxicological risks and complement broader sediment quality assessment activities. Applicants wishing to include this option should describe it clearly in the proposal, including the intended use, expected value for the target site, and any required support.</w:t>
      </w:r>
    </w:p>
    <w:p w14:paraId="3C2E5C17" w14:textId="77777777" w:rsidR="00EF2451" w:rsidRPr="00CC0B11" w:rsidRDefault="00EF2451" w:rsidP="00EF2451">
      <w:pPr>
        <w:rPr>
          <w:rFonts w:ascii="Times New Roman" w:hAnsi="Times New Roman" w:cs="Times New Roman"/>
          <w:color w:val="1A2323" w:themeColor="text1"/>
        </w:rPr>
      </w:pPr>
    </w:p>
    <w:p w14:paraId="598FBF29" w14:textId="77777777" w:rsidR="00EF2451" w:rsidRPr="00CC0B11" w:rsidRDefault="00EF2451" w:rsidP="00EF2451">
      <w:pPr>
        <w:pStyle w:val="ListParagraph"/>
        <w:numPr>
          <w:ilvl w:val="0"/>
          <w:numId w:val="8"/>
        </w:numPr>
        <w:rPr>
          <w:rFonts w:ascii="Times New Roman" w:hAnsi="Times New Roman" w:cs="Times New Roman"/>
          <w:color w:val="1A2323" w:themeColor="text1"/>
        </w:rPr>
      </w:pPr>
      <w:r w:rsidRPr="00CC0B11">
        <w:rPr>
          <w:rFonts w:ascii="Times New Roman" w:hAnsi="Times New Roman" w:cs="Times New Roman"/>
          <w:color w:val="1A2323" w:themeColor="text1"/>
        </w:rPr>
        <w:t>Flow monitoring</w:t>
      </w:r>
    </w:p>
    <w:p w14:paraId="7AA57BCE" w14:textId="77777777" w:rsidR="00EF2451" w:rsidRPr="00CC0B11" w:rsidRDefault="00EF2451" w:rsidP="00EF2451">
      <w:pPr>
        <w:pStyle w:val="ListParagraph"/>
        <w:numPr>
          <w:ilvl w:val="0"/>
          <w:numId w:val="8"/>
        </w:numPr>
        <w:rPr>
          <w:rFonts w:ascii="Times New Roman" w:hAnsi="Times New Roman" w:cs="Times New Roman"/>
          <w:color w:val="1A2323" w:themeColor="text1"/>
        </w:rPr>
      </w:pPr>
      <w:r w:rsidRPr="00CC0B11">
        <w:rPr>
          <w:rFonts w:ascii="Times New Roman" w:hAnsi="Times New Roman" w:cs="Times New Roman"/>
          <w:color w:val="1A2323" w:themeColor="text1"/>
        </w:rPr>
        <w:t>Sediment quantity monitoring</w:t>
      </w:r>
    </w:p>
    <w:p w14:paraId="398B8DF7" w14:textId="77777777" w:rsidR="00EF2451" w:rsidRPr="00CC0B11" w:rsidRDefault="00EF2451" w:rsidP="00EF2451">
      <w:pPr>
        <w:pStyle w:val="ListParagraph"/>
        <w:numPr>
          <w:ilvl w:val="0"/>
          <w:numId w:val="8"/>
        </w:numPr>
        <w:rPr>
          <w:rFonts w:ascii="Times New Roman" w:hAnsi="Times New Roman" w:cs="Times New Roman"/>
          <w:color w:val="1A2323" w:themeColor="text1"/>
        </w:rPr>
      </w:pPr>
      <w:r w:rsidRPr="00CC0B11">
        <w:rPr>
          <w:rFonts w:ascii="Times New Roman" w:hAnsi="Times New Roman" w:cs="Times New Roman"/>
          <w:color w:val="1A2323" w:themeColor="text1"/>
        </w:rPr>
        <w:t>Sediment quality assessment (including the identification of pollution sources of the river(s))</w:t>
      </w:r>
    </w:p>
    <w:p w14:paraId="39D20796" w14:textId="77777777" w:rsidR="00EF2451" w:rsidRPr="00CC0B11" w:rsidRDefault="00EF2451" w:rsidP="00EF2451">
      <w:pPr>
        <w:pStyle w:val="ListParagraph"/>
        <w:numPr>
          <w:ilvl w:val="0"/>
          <w:numId w:val="8"/>
        </w:numPr>
        <w:rPr>
          <w:rFonts w:ascii="Times New Roman" w:hAnsi="Times New Roman" w:cs="Times New Roman"/>
          <w:color w:val="1A2323" w:themeColor="text1"/>
        </w:rPr>
      </w:pPr>
      <w:r w:rsidRPr="4C5B09D5">
        <w:rPr>
          <w:rFonts w:ascii="Times New Roman" w:hAnsi="Times New Roman" w:cs="Times New Roman"/>
          <w:color w:val="1A2222"/>
        </w:rPr>
        <w:t>Actions to improve awareness raising on sediment flow alterations</w:t>
      </w:r>
    </w:p>
    <w:p w14:paraId="4979CA93" w14:textId="77777777" w:rsidR="00EF2451" w:rsidRPr="00CC0B11" w:rsidRDefault="00EF2451" w:rsidP="00EF2451">
      <w:pPr>
        <w:jc w:val="center"/>
        <w:rPr>
          <w:color w:val="1A2323" w:themeColor="text1"/>
        </w:rPr>
      </w:pPr>
    </w:p>
    <w:p w14:paraId="605D555F" w14:textId="77777777" w:rsidR="00EF2451" w:rsidRDefault="00EF2451" w:rsidP="00EF2451">
      <w:pPr>
        <w:jc w:val="center"/>
      </w:pPr>
    </w:p>
    <w:p w14:paraId="77A113E5" w14:textId="77777777" w:rsidR="00EF2451" w:rsidRDefault="00EF2451" w:rsidP="00EF2451">
      <w:pPr>
        <w:pStyle w:val="Heading1"/>
        <w:spacing w:before="60" w:after="60"/>
        <w:jc w:val="both"/>
        <w:rPr>
          <w:rFonts w:ascii="Times New Roman" w:eastAsia="Times New Roman" w:hAnsi="Times New Roman" w:cs="Times New Roman"/>
          <w:b/>
          <w:bCs/>
          <w:smallCaps/>
          <w:color w:val="2F5496"/>
          <w:sz w:val="24"/>
          <w:szCs w:val="24"/>
        </w:rPr>
      </w:pPr>
      <w:r w:rsidRPr="1CA6CC23">
        <w:rPr>
          <w:rFonts w:ascii="Times New Roman" w:eastAsia="Times New Roman" w:hAnsi="Times New Roman" w:cs="Times New Roman"/>
          <w:b/>
          <w:bCs/>
          <w:smallCaps/>
          <w:color w:val="2F5496"/>
          <w:sz w:val="24"/>
          <w:szCs w:val="24"/>
        </w:rPr>
        <w:t>Core activities (Mandatory for all applicants)</w:t>
      </w:r>
    </w:p>
    <w:p w14:paraId="79853817" w14:textId="77777777" w:rsidR="00EF2451" w:rsidRDefault="00EF2451" w:rsidP="00EF2451">
      <w:pPr>
        <w:jc w:val="both"/>
      </w:pPr>
      <w:r w:rsidRPr="1CA6CC23">
        <w:rPr>
          <w:rFonts w:ascii="Times New Roman" w:eastAsia="Times New Roman" w:hAnsi="Times New Roman" w:cs="Times New Roman"/>
          <w:color w:val="000000"/>
        </w:rPr>
        <w:t xml:space="preserve">Every funded project </w:t>
      </w:r>
      <w:r w:rsidRPr="1CA6CC23">
        <w:rPr>
          <w:rFonts w:ascii="Times New Roman" w:eastAsia="Times New Roman" w:hAnsi="Times New Roman" w:cs="Times New Roman"/>
          <w:b/>
          <w:bCs/>
          <w:color w:val="000000"/>
        </w:rPr>
        <w:t>must implement</w:t>
      </w:r>
      <w:r w:rsidRPr="1CA6CC23">
        <w:rPr>
          <w:rFonts w:ascii="Times New Roman" w:eastAsia="Times New Roman" w:hAnsi="Times New Roman" w:cs="Times New Roman"/>
          <w:color w:val="000000"/>
        </w:rPr>
        <w:t xml:space="preserve"> the following activities:</w:t>
      </w:r>
    </w:p>
    <w:p w14:paraId="06C5CCF6" w14:textId="77777777" w:rsidR="00EF2451" w:rsidRPr="00D17620" w:rsidRDefault="00EF2451" w:rsidP="00EF2451">
      <w:pPr>
        <w:pStyle w:val="ListParagraph"/>
        <w:numPr>
          <w:ilvl w:val="0"/>
          <w:numId w:val="7"/>
        </w:numPr>
        <w:spacing w:before="220" w:after="220"/>
        <w:jc w:val="both"/>
        <w:rPr>
          <w:rFonts w:ascii="Times New Roman" w:eastAsia="Times New Roman" w:hAnsi="Times New Roman" w:cs="Times New Roman"/>
          <w:color w:val="auto"/>
        </w:rPr>
      </w:pPr>
      <w:r w:rsidRPr="00D17620">
        <w:rPr>
          <w:rFonts w:ascii="Times New Roman" w:eastAsia="Times New Roman" w:hAnsi="Times New Roman" w:cs="Times New Roman"/>
          <w:color w:val="auto"/>
        </w:rPr>
        <w:t>Stakeholder engagement and environmental awareness campaigns</w:t>
      </w:r>
      <w:r w:rsidRPr="00D17620" w:rsidDel="0084585C">
        <w:rPr>
          <w:rFonts w:ascii="Times New Roman" w:eastAsia="Times New Roman" w:hAnsi="Times New Roman" w:cs="Times New Roman"/>
          <w:color w:val="auto"/>
        </w:rPr>
        <w:t xml:space="preserve"> </w:t>
      </w:r>
      <w:r w:rsidRPr="00D17620">
        <w:rPr>
          <w:rFonts w:ascii="Times New Roman" w:eastAsia="Times New Roman" w:hAnsi="Times New Roman" w:cs="Times New Roman"/>
          <w:color w:val="auto"/>
        </w:rPr>
        <w:t>– engage local stakeholders to discuss results and co-design future measures</w:t>
      </w:r>
      <w:r>
        <w:rPr>
          <w:rFonts w:ascii="Times New Roman" w:eastAsia="Times New Roman" w:hAnsi="Times New Roman" w:cs="Times New Roman"/>
          <w:color w:val="auto"/>
        </w:rPr>
        <w:t>.</w:t>
      </w:r>
    </w:p>
    <w:p w14:paraId="6D549D8E" w14:textId="77777777" w:rsidR="00EF2451" w:rsidRPr="00CC0B11" w:rsidRDefault="00EF2451" w:rsidP="00EF2451">
      <w:pPr>
        <w:pStyle w:val="ListParagraph"/>
        <w:numPr>
          <w:ilvl w:val="1"/>
          <w:numId w:val="7"/>
        </w:numPr>
        <w:spacing w:before="220" w:after="220"/>
        <w:jc w:val="both"/>
        <w:rPr>
          <w:rFonts w:ascii="Times New Roman" w:eastAsia="Times New Roman" w:hAnsi="Times New Roman" w:cs="Times New Roman"/>
          <w:color w:val="1A2323" w:themeColor="text1"/>
          <w:lang w:eastAsia="en-GB"/>
        </w:rPr>
      </w:pPr>
      <w:r w:rsidRPr="00CC0B11">
        <w:rPr>
          <w:rFonts w:ascii="Times New Roman" w:eastAsia="Times New Roman" w:hAnsi="Times New Roman" w:cs="Times New Roman"/>
          <w:color w:val="1A2323" w:themeColor="text1"/>
          <w:lang w:eastAsia="en-GB"/>
        </w:rPr>
        <w:t xml:space="preserve">Each project should organise at least one workshop (online or on-site) or multi-actor meeting. Awareness campaigns on sediment management challenges and solutions should also be conducted. </w:t>
      </w:r>
    </w:p>
    <w:p w14:paraId="622D4685" w14:textId="77777777" w:rsidR="00EF2451" w:rsidRPr="00CC0B11" w:rsidRDefault="00EF2451" w:rsidP="00EF2451">
      <w:pPr>
        <w:pStyle w:val="ListParagraph"/>
        <w:numPr>
          <w:ilvl w:val="1"/>
          <w:numId w:val="7"/>
        </w:numPr>
        <w:spacing w:before="220" w:after="220"/>
        <w:jc w:val="both"/>
        <w:rPr>
          <w:rFonts w:ascii="Times New Roman" w:eastAsia="Times New Roman" w:hAnsi="Times New Roman" w:cs="Times New Roman"/>
          <w:color w:val="1A2323" w:themeColor="text1"/>
        </w:rPr>
      </w:pPr>
      <w:r w:rsidRPr="00CC0B11">
        <w:rPr>
          <w:rFonts w:ascii="Times New Roman" w:eastAsia="Times New Roman" w:hAnsi="Times New Roman" w:cs="Times New Roman"/>
          <w:color w:val="1A2323" w:themeColor="text1"/>
          <w:lang w:eastAsia="en-GB"/>
        </w:rPr>
        <w:t>Activities include facilitation, dissemination, and collection of stakeholder feedback for future measures. SUNDANSE will provide templates, materials, and facilitation guidance. Participation lists and reports must be included as deliverables.</w:t>
      </w:r>
    </w:p>
    <w:p w14:paraId="7DF758EB" w14:textId="77777777" w:rsidR="00EF2451" w:rsidRPr="00CC0B11" w:rsidRDefault="00EF2451" w:rsidP="00EF2451">
      <w:pPr>
        <w:pStyle w:val="ListParagraph"/>
        <w:numPr>
          <w:ilvl w:val="0"/>
          <w:numId w:val="7"/>
        </w:numPr>
        <w:spacing w:before="220" w:after="220"/>
        <w:jc w:val="both"/>
        <w:rPr>
          <w:rFonts w:ascii="Times New Roman" w:eastAsia="Times New Roman" w:hAnsi="Times New Roman" w:cs="Times New Roman"/>
          <w:color w:val="1A2323" w:themeColor="text1"/>
        </w:rPr>
      </w:pPr>
      <w:r w:rsidRPr="00CC0B11">
        <w:rPr>
          <w:rFonts w:ascii="Times New Roman" w:eastAsia="Times New Roman" w:hAnsi="Times New Roman" w:cs="Times New Roman"/>
          <w:color w:val="1A2323" w:themeColor="text1"/>
        </w:rPr>
        <w:t>Strategic action plan and implementation roadmap</w:t>
      </w:r>
      <w:r w:rsidRPr="00CC0B11" w:rsidDel="0084585C">
        <w:rPr>
          <w:rFonts w:ascii="Times New Roman" w:eastAsia="Times New Roman" w:hAnsi="Times New Roman" w:cs="Times New Roman"/>
          <w:color w:val="1A2323" w:themeColor="text1"/>
        </w:rPr>
        <w:t xml:space="preserve"> </w:t>
      </w:r>
      <w:r w:rsidRPr="00CC0B11">
        <w:rPr>
          <w:rFonts w:ascii="Times New Roman" w:eastAsia="Times New Roman" w:hAnsi="Times New Roman" w:cs="Times New Roman"/>
          <w:color w:val="1A2323" w:themeColor="text1"/>
        </w:rPr>
        <w:t xml:space="preserve">– prepare a regional plan for replication and scaling of sediment solutions. </w:t>
      </w:r>
    </w:p>
    <w:p w14:paraId="151B3233" w14:textId="77777777" w:rsidR="00EF2451" w:rsidRPr="00CC0B11" w:rsidRDefault="00EF2451" w:rsidP="00EF2451">
      <w:pPr>
        <w:pStyle w:val="ListParagraph"/>
        <w:numPr>
          <w:ilvl w:val="1"/>
          <w:numId w:val="7"/>
        </w:numPr>
        <w:spacing w:before="220" w:after="220"/>
        <w:jc w:val="both"/>
        <w:rPr>
          <w:rFonts w:ascii="Times New Roman" w:eastAsia="Times New Roman" w:hAnsi="Times New Roman" w:cs="Times New Roman"/>
          <w:color w:val="1A2323" w:themeColor="text1"/>
        </w:rPr>
      </w:pPr>
      <w:r w:rsidRPr="00CC0B11">
        <w:rPr>
          <w:rFonts w:ascii="Times New Roman" w:eastAsia="Times New Roman" w:hAnsi="Times New Roman" w:cs="Times New Roman"/>
          <w:color w:val="1A2323" w:themeColor="text1"/>
        </w:rPr>
        <w:t>Development of a strategic document outlining actions for sustainable sediment management and potential scaling of SUNDANSE solutions. The roadmap includes priorities, responsible institutions, indicative budgets, and timelines.</w:t>
      </w:r>
    </w:p>
    <w:p w14:paraId="4F6187B2" w14:textId="77777777" w:rsidR="00EF2451" w:rsidRPr="00CC0B11" w:rsidRDefault="00EF2451" w:rsidP="00EF2451">
      <w:pPr>
        <w:pStyle w:val="ListParagraph"/>
        <w:numPr>
          <w:ilvl w:val="1"/>
          <w:numId w:val="7"/>
        </w:numPr>
        <w:spacing w:before="220" w:after="220"/>
        <w:jc w:val="both"/>
        <w:rPr>
          <w:rFonts w:ascii="Times New Roman" w:eastAsia="Times New Roman" w:hAnsi="Times New Roman" w:cs="Times New Roman"/>
          <w:color w:val="1A2323" w:themeColor="text1"/>
        </w:rPr>
      </w:pPr>
      <w:r w:rsidRPr="00CC0B11">
        <w:rPr>
          <w:rFonts w:ascii="Times New Roman" w:eastAsia="Times New Roman" w:hAnsi="Times New Roman" w:cs="Times New Roman"/>
          <w:color w:val="1A2323" w:themeColor="text1"/>
          <w:lang w:eastAsia="en-GB"/>
        </w:rPr>
        <w:t>Applicants must prepare a Regional Action Plan. The document summarises the findings from proposed activities and outlines proposed next steps for implementation.</w:t>
      </w:r>
    </w:p>
    <w:p w14:paraId="6B9FA834" w14:textId="77777777" w:rsidR="00EF2451" w:rsidRPr="003013C9" w:rsidRDefault="00EF2451" w:rsidP="00EF2451">
      <w:pPr>
        <w:pStyle w:val="ListParagraph"/>
        <w:numPr>
          <w:ilvl w:val="0"/>
          <w:numId w:val="7"/>
        </w:numPr>
        <w:spacing w:before="220" w:after="220"/>
        <w:jc w:val="both"/>
        <w:rPr>
          <w:rFonts w:ascii="Times New Roman" w:eastAsia="Times New Roman" w:hAnsi="Times New Roman" w:cs="Times New Roman"/>
          <w:color w:val="auto"/>
        </w:rPr>
      </w:pPr>
      <w:r w:rsidRPr="00CC0B11">
        <w:rPr>
          <w:rFonts w:ascii="Times New Roman" w:eastAsia="Times New Roman" w:hAnsi="Times New Roman" w:cs="Times New Roman"/>
          <w:color w:val="1A2323" w:themeColor="text1"/>
        </w:rPr>
        <w:t xml:space="preserve">Replication activities (Table 1) – each project is required to replicate at least one activity </w:t>
      </w:r>
      <w:r w:rsidRPr="003013C9">
        <w:rPr>
          <w:rFonts w:ascii="Times New Roman" w:eastAsia="Times New Roman" w:hAnsi="Times New Roman" w:cs="Times New Roman"/>
          <w:color w:val="auto"/>
        </w:rPr>
        <w:t xml:space="preserve">from the list provided in Table 1. Applicants may choose the activity or combination of activities that best </w:t>
      </w:r>
      <w:r w:rsidRPr="003013C9">
        <w:rPr>
          <w:rFonts w:ascii="Times New Roman" w:eastAsia="Times New Roman" w:hAnsi="Times New Roman" w:cs="Times New Roman"/>
          <w:color w:val="auto"/>
        </w:rPr>
        <w:lastRenderedPageBreak/>
        <w:t>fit their context and objectives, within the available €100,000 budget. While not all listed activities are expected to be replicated, projects are encouraged to implement as many as feasible within their proposed plan and resources.</w:t>
      </w:r>
    </w:p>
    <w:p w14:paraId="6704CC59" w14:textId="77777777" w:rsidR="00EF2451" w:rsidRDefault="00EF2451" w:rsidP="00EF2451">
      <w:pPr>
        <w:pStyle w:val="Heading1"/>
        <w:spacing w:before="60" w:after="60"/>
        <w:jc w:val="both"/>
        <w:rPr>
          <w:rFonts w:ascii="Times New Roman" w:eastAsia="Times New Roman" w:hAnsi="Times New Roman" w:cs="Times New Roman"/>
          <w:b/>
          <w:bCs/>
          <w:smallCaps/>
          <w:color w:val="2F5496"/>
          <w:sz w:val="24"/>
          <w:szCs w:val="24"/>
        </w:rPr>
      </w:pPr>
      <w:r w:rsidRPr="1CA6CC23">
        <w:rPr>
          <w:rFonts w:ascii="Times New Roman" w:eastAsia="Times New Roman" w:hAnsi="Times New Roman" w:cs="Times New Roman"/>
          <w:b/>
          <w:bCs/>
          <w:smallCaps/>
          <w:color w:val="2F5496"/>
          <w:sz w:val="24"/>
          <w:szCs w:val="24"/>
        </w:rPr>
        <w:t>Services provided by SUNDANSE</w:t>
      </w:r>
    </w:p>
    <w:p w14:paraId="3E205D1B" w14:textId="77777777" w:rsidR="00EF2451" w:rsidRDefault="00EF2451" w:rsidP="00EF2451">
      <w:pPr>
        <w:jc w:val="both"/>
      </w:pPr>
      <w:r w:rsidRPr="09B069F7">
        <w:rPr>
          <w:rFonts w:ascii="Times New Roman" w:eastAsia="Times New Roman" w:hAnsi="Times New Roman" w:cs="Times New Roman"/>
          <w:color w:val="000000"/>
        </w:rPr>
        <w:t>Applicants</w:t>
      </w:r>
      <w:r w:rsidRPr="09B069F7">
        <w:rPr>
          <w:rFonts w:ascii="Times New Roman" w:eastAsia="Times New Roman" w:hAnsi="Times New Roman" w:cs="Times New Roman"/>
          <w:b/>
          <w:bCs/>
          <w:color w:val="000000"/>
        </w:rPr>
        <w:t xml:space="preserve"> may also benefit from project services</w:t>
      </w:r>
      <w:r w:rsidRPr="09B069F7">
        <w:rPr>
          <w:rFonts w:ascii="Times New Roman" w:eastAsia="Times New Roman" w:hAnsi="Times New Roman" w:cs="Times New Roman"/>
          <w:color w:val="000000"/>
        </w:rPr>
        <w:t>, depending on their proposed activity (the mentoring will be up to 8h per month per funded Associated region):</w:t>
      </w:r>
    </w:p>
    <w:p w14:paraId="7AA0A86D" w14:textId="77777777" w:rsidR="00EF2451" w:rsidRPr="00EF436C" w:rsidRDefault="00EF2451" w:rsidP="00EF2451">
      <w:pPr>
        <w:pStyle w:val="ListParagraph"/>
        <w:numPr>
          <w:ilvl w:val="0"/>
          <w:numId w:val="6"/>
        </w:numPr>
        <w:spacing w:before="220" w:after="220"/>
        <w:jc w:val="both"/>
        <w:rPr>
          <w:rFonts w:ascii="Times New Roman" w:hAnsi="Times New Roman" w:cs="Times New Roman"/>
          <w:color w:val="auto"/>
        </w:rPr>
      </w:pPr>
      <w:r w:rsidRPr="00EF436C">
        <w:rPr>
          <w:rFonts w:ascii="Times New Roman" w:hAnsi="Times New Roman" w:cs="Times New Roman"/>
          <w:color w:val="auto"/>
        </w:rPr>
        <w:t>Consultancy on methods for laboratory analysis of sediment samples to test for the presence of contaminants, microplastics, organic micropollutants, and toxic metals.</w:t>
      </w:r>
    </w:p>
    <w:p w14:paraId="006A52B7" w14:textId="77777777" w:rsidR="00EF2451" w:rsidRPr="00EF436C" w:rsidRDefault="00EF2451" w:rsidP="00EF2451">
      <w:pPr>
        <w:pStyle w:val="ListParagraph"/>
        <w:numPr>
          <w:ilvl w:val="0"/>
          <w:numId w:val="6"/>
        </w:numPr>
        <w:spacing w:before="220" w:after="220"/>
        <w:jc w:val="both"/>
        <w:rPr>
          <w:rFonts w:ascii="Times New Roman" w:hAnsi="Times New Roman" w:cs="Times New Roman"/>
          <w:color w:val="auto"/>
        </w:rPr>
      </w:pPr>
      <w:r w:rsidRPr="00EF436C">
        <w:rPr>
          <w:rFonts w:ascii="Times New Roman" w:hAnsi="Times New Roman" w:cs="Times New Roman"/>
          <w:color w:val="auto"/>
        </w:rPr>
        <w:t>Guidance on sampling and preservation methods.</w:t>
      </w:r>
    </w:p>
    <w:p w14:paraId="09F3E65D" w14:textId="77777777" w:rsidR="00EF2451" w:rsidRPr="00EF436C" w:rsidRDefault="00EF2451" w:rsidP="00EF2451">
      <w:pPr>
        <w:pStyle w:val="ListParagraph"/>
        <w:numPr>
          <w:ilvl w:val="0"/>
          <w:numId w:val="6"/>
        </w:numPr>
        <w:spacing w:before="220" w:after="220"/>
        <w:jc w:val="both"/>
        <w:rPr>
          <w:rFonts w:ascii="Times New Roman" w:eastAsia="Times New Roman" w:hAnsi="Times New Roman" w:cs="Times New Roman"/>
          <w:color w:val="auto"/>
        </w:rPr>
      </w:pPr>
      <w:r w:rsidRPr="00EF436C">
        <w:rPr>
          <w:rFonts w:ascii="Times New Roman" w:eastAsia="Times New Roman" w:hAnsi="Times New Roman" w:cs="Times New Roman"/>
          <w:color w:val="auto"/>
        </w:rPr>
        <w:t>Guidance for Data harmonisation &amp; QA/QC – ensuring results meet FAIR standards.</w:t>
      </w:r>
    </w:p>
    <w:p w14:paraId="6CD933E2" w14:textId="77777777" w:rsidR="00EF2451" w:rsidRPr="00EF436C" w:rsidRDefault="00EF2451" w:rsidP="00EF2451">
      <w:pPr>
        <w:pStyle w:val="ListParagraph"/>
        <w:numPr>
          <w:ilvl w:val="0"/>
          <w:numId w:val="6"/>
        </w:numPr>
        <w:spacing w:before="220" w:after="220"/>
        <w:jc w:val="both"/>
        <w:rPr>
          <w:rFonts w:ascii="Times New Roman" w:eastAsia="Times New Roman" w:hAnsi="Times New Roman" w:cs="Times New Roman"/>
          <w:color w:val="auto"/>
        </w:rPr>
      </w:pPr>
      <w:r w:rsidRPr="00EF436C">
        <w:rPr>
          <w:rFonts w:ascii="Times New Roman" w:eastAsia="Times New Roman" w:hAnsi="Times New Roman" w:cs="Times New Roman"/>
          <w:color w:val="auto"/>
        </w:rPr>
        <w:t>Guidance for Modelling – consortium experts assist with simulation runs</w:t>
      </w:r>
      <w:r w:rsidRPr="2E6C99AE">
        <w:rPr>
          <w:rFonts w:ascii="Times New Roman" w:eastAsia="Times New Roman" w:hAnsi="Times New Roman" w:cs="Times New Roman"/>
          <w:color w:val="auto"/>
        </w:rPr>
        <w:t xml:space="preserve"> or setup a modelling plan strategy</w:t>
      </w:r>
      <w:r w:rsidRPr="00EF436C">
        <w:rPr>
          <w:rFonts w:ascii="Times New Roman" w:eastAsia="Times New Roman" w:hAnsi="Times New Roman" w:cs="Times New Roman"/>
          <w:color w:val="auto"/>
        </w:rPr>
        <w:t>.</w:t>
      </w:r>
    </w:p>
    <w:p w14:paraId="63A84FFC" w14:textId="77777777" w:rsidR="00EF2451" w:rsidRDefault="00EF2451" w:rsidP="00EF2451">
      <w:pPr>
        <w:pStyle w:val="ListParagraph"/>
        <w:numPr>
          <w:ilvl w:val="0"/>
          <w:numId w:val="6"/>
        </w:numPr>
        <w:spacing w:before="220" w:after="220"/>
        <w:jc w:val="both"/>
        <w:rPr>
          <w:rFonts w:ascii="Times New Roman" w:eastAsia="Times New Roman" w:hAnsi="Times New Roman" w:cs="Times New Roman"/>
          <w:color w:val="000000"/>
        </w:rPr>
      </w:pPr>
      <w:r w:rsidRPr="00EF436C">
        <w:rPr>
          <w:rFonts w:ascii="Times New Roman" w:eastAsia="Times New Roman" w:hAnsi="Times New Roman" w:cs="Times New Roman"/>
          <w:color w:val="auto"/>
        </w:rPr>
        <w:t xml:space="preserve">Stakeholder engagement support – facilitation </w:t>
      </w:r>
      <w:r w:rsidRPr="1CA6CC23">
        <w:rPr>
          <w:rFonts w:ascii="Times New Roman" w:eastAsia="Times New Roman" w:hAnsi="Times New Roman" w:cs="Times New Roman"/>
          <w:color w:val="000000"/>
        </w:rPr>
        <w:t>guidelines, templates for workshops</w:t>
      </w:r>
      <w:r>
        <w:rPr>
          <w:rFonts w:ascii="Times New Roman" w:eastAsia="Times New Roman" w:hAnsi="Times New Roman" w:cs="Times New Roman"/>
          <w:color w:val="000000"/>
        </w:rPr>
        <w:t>.</w:t>
      </w:r>
    </w:p>
    <w:p w14:paraId="4B1167EA" w14:textId="77777777" w:rsidR="00EF2451" w:rsidRDefault="00EF2451" w:rsidP="00EF2451">
      <w:pPr>
        <w:pStyle w:val="ListParagraph"/>
        <w:numPr>
          <w:ilvl w:val="0"/>
          <w:numId w:val="6"/>
        </w:numPr>
        <w:spacing w:before="220" w:after="220"/>
        <w:jc w:val="both"/>
        <w:rPr>
          <w:rFonts w:ascii="Times New Roman" w:eastAsia="Times New Roman" w:hAnsi="Times New Roman" w:cs="Times New Roman"/>
          <w:color w:val="000000"/>
        </w:rPr>
      </w:pPr>
      <w:r w:rsidRPr="1CA6CC23">
        <w:rPr>
          <w:rFonts w:ascii="Times New Roman" w:eastAsia="Times New Roman" w:hAnsi="Times New Roman" w:cs="Times New Roman"/>
          <w:color w:val="000000"/>
        </w:rPr>
        <w:t>Policy &amp; governance guidance – frameworks for regulatory analysis and roadmap preparation</w:t>
      </w:r>
      <w:r>
        <w:rPr>
          <w:rFonts w:ascii="Times New Roman" w:eastAsia="Times New Roman" w:hAnsi="Times New Roman" w:cs="Times New Roman"/>
          <w:color w:val="000000"/>
        </w:rPr>
        <w:t>.</w:t>
      </w:r>
    </w:p>
    <w:p w14:paraId="75CC4F07" w14:textId="77777777" w:rsidR="00EF2451" w:rsidRDefault="00EF2451" w:rsidP="00EF2451">
      <w:pPr>
        <w:jc w:val="center"/>
      </w:pPr>
    </w:p>
    <w:p w14:paraId="3A00A346" w14:textId="77777777" w:rsidR="00EF2451" w:rsidRDefault="00EF2451" w:rsidP="00EF2451">
      <w:pPr>
        <w:pStyle w:val="Heading1"/>
        <w:spacing w:before="60" w:after="60"/>
        <w:jc w:val="both"/>
        <w:rPr>
          <w:rFonts w:ascii="Times New Roman" w:eastAsia="Times New Roman" w:hAnsi="Times New Roman" w:cs="Times New Roman"/>
          <w:b/>
          <w:bCs/>
          <w:smallCaps/>
          <w:color w:val="2F5496"/>
          <w:sz w:val="24"/>
          <w:szCs w:val="24"/>
        </w:rPr>
      </w:pPr>
      <w:r w:rsidRPr="1CA6CC23">
        <w:rPr>
          <w:rFonts w:ascii="Times New Roman" w:eastAsia="Times New Roman" w:hAnsi="Times New Roman" w:cs="Times New Roman"/>
          <w:b/>
          <w:bCs/>
          <w:smallCaps/>
          <w:color w:val="2F5496"/>
          <w:sz w:val="24"/>
          <w:szCs w:val="24"/>
        </w:rPr>
        <w:t>Expected outputs &amp; deliverables</w:t>
      </w:r>
    </w:p>
    <w:p w14:paraId="45848547" w14:textId="77777777" w:rsidR="00EF2451" w:rsidRPr="00E642EB" w:rsidRDefault="00EF2451" w:rsidP="00EF2451">
      <w:pPr>
        <w:jc w:val="both"/>
      </w:pPr>
      <w:r w:rsidRPr="00E642EB">
        <w:rPr>
          <w:rFonts w:ascii="Times New Roman" w:eastAsia="Times New Roman" w:hAnsi="Times New Roman" w:cs="Times New Roman"/>
          <w:color w:val="000000"/>
        </w:rPr>
        <w:t xml:space="preserve">Each project </w:t>
      </w:r>
      <w:r w:rsidRPr="00E642EB">
        <w:rPr>
          <w:rFonts w:ascii="Times New Roman" w:eastAsia="Times New Roman" w:hAnsi="Times New Roman" w:cs="Times New Roman"/>
          <w:b/>
          <w:color w:val="000000"/>
        </w:rPr>
        <w:t>must deliver</w:t>
      </w:r>
      <w:r w:rsidRPr="00E642EB">
        <w:rPr>
          <w:rFonts w:ascii="Times New Roman" w:eastAsia="Times New Roman" w:hAnsi="Times New Roman" w:cs="Times New Roman"/>
          <w:color w:val="000000"/>
        </w:rPr>
        <w:t>:</w:t>
      </w:r>
    </w:p>
    <w:p w14:paraId="07F9CE43" w14:textId="77777777" w:rsidR="00EF2451" w:rsidRDefault="00EF2451" w:rsidP="00EF2451">
      <w:pPr>
        <w:pStyle w:val="ListParagraph"/>
        <w:numPr>
          <w:ilvl w:val="0"/>
          <w:numId w:val="5"/>
        </w:numPr>
        <w:spacing w:before="220" w:after="220"/>
        <w:jc w:val="both"/>
        <w:rPr>
          <w:rFonts w:ascii="Times New Roman" w:eastAsia="Times New Roman" w:hAnsi="Times New Roman" w:cs="Times New Roman"/>
          <w:color w:val="000000"/>
        </w:rPr>
      </w:pPr>
      <w:r w:rsidRPr="1CA6CC23">
        <w:rPr>
          <w:rFonts w:ascii="Times New Roman" w:eastAsia="Times New Roman" w:hAnsi="Times New Roman" w:cs="Times New Roman"/>
          <w:color w:val="000000"/>
        </w:rPr>
        <w:t>Stakeholder engagement outputs (workshop report, participant lists, outcomes).</w:t>
      </w:r>
    </w:p>
    <w:p w14:paraId="156A8F2C" w14:textId="77777777" w:rsidR="00EF2451" w:rsidRDefault="00EF2451" w:rsidP="00EF2451">
      <w:pPr>
        <w:pStyle w:val="ListParagraph"/>
        <w:numPr>
          <w:ilvl w:val="0"/>
          <w:numId w:val="5"/>
        </w:numPr>
        <w:spacing w:before="220" w:after="220"/>
        <w:jc w:val="both"/>
        <w:rPr>
          <w:rFonts w:ascii="Times New Roman" w:eastAsia="Times New Roman" w:hAnsi="Times New Roman" w:cs="Times New Roman"/>
          <w:color w:val="000000"/>
        </w:rPr>
      </w:pPr>
      <w:r w:rsidRPr="1CA6CC23">
        <w:rPr>
          <w:rFonts w:ascii="Times New Roman" w:eastAsia="Times New Roman" w:hAnsi="Times New Roman" w:cs="Times New Roman"/>
          <w:color w:val="000000"/>
        </w:rPr>
        <w:t>Regional Action Plan &amp; Roadmap (aligned with SUNDANSE framework).</w:t>
      </w:r>
    </w:p>
    <w:p w14:paraId="3403529E" w14:textId="77777777" w:rsidR="00EF2451" w:rsidRDefault="00EF2451" w:rsidP="00EF2451">
      <w:pPr>
        <w:pStyle w:val="ListParagraph"/>
        <w:numPr>
          <w:ilvl w:val="0"/>
          <w:numId w:val="5"/>
        </w:numPr>
        <w:spacing w:before="220" w:after="220"/>
        <w:jc w:val="both"/>
        <w:rPr>
          <w:rFonts w:ascii="Times New Roman" w:eastAsia="Times New Roman" w:hAnsi="Times New Roman" w:cs="Times New Roman"/>
          <w:color w:val="000000"/>
        </w:rPr>
      </w:pPr>
      <w:r>
        <w:rPr>
          <w:rFonts w:ascii="Times New Roman" w:eastAsia="Times New Roman" w:hAnsi="Times New Roman" w:cs="Times New Roman"/>
          <w:color w:val="000000"/>
        </w:rPr>
        <w:t>Within</w:t>
      </w:r>
      <w:r w:rsidRPr="001D4EEA">
        <w:rPr>
          <w:rFonts w:ascii="Times New Roman" w:eastAsia="Times New Roman" w:hAnsi="Times New Roman" w:cs="Times New Roman"/>
          <w:color w:val="000000"/>
        </w:rPr>
        <w:t xml:space="preserve"> the replication activities a project chooses</w:t>
      </w:r>
      <w:r>
        <w:rPr>
          <w:rFonts w:ascii="Times New Roman" w:eastAsia="Times New Roman" w:hAnsi="Times New Roman" w:cs="Times New Roman"/>
          <w:color w:val="000000"/>
        </w:rPr>
        <w:t xml:space="preserve"> (see Table 1)</w:t>
      </w:r>
      <w:r w:rsidRPr="001D4EEA">
        <w:rPr>
          <w:rFonts w:ascii="Times New Roman" w:eastAsia="Times New Roman" w:hAnsi="Times New Roman" w:cs="Times New Roman"/>
          <w:color w:val="000000"/>
        </w:rPr>
        <w:t xml:space="preserve">, it is </w:t>
      </w:r>
      <w:r w:rsidRPr="001D4EEA">
        <w:rPr>
          <w:rFonts w:ascii="Times New Roman" w:eastAsia="Times New Roman" w:hAnsi="Times New Roman" w:cs="Times New Roman"/>
          <w:b/>
          <w:bCs/>
          <w:color w:val="000000"/>
        </w:rPr>
        <w:t>expected to propose measurable outcome</w:t>
      </w:r>
      <w:r>
        <w:rPr>
          <w:rFonts w:ascii="Times New Roman" w:eastAsia="Times New Roman" w:hAnsi="Times New Roman" w:cs="Times New Roman"/>
          <w:b/>
          <w:bCs/>
          <w:color w:val="000000"/>
        </w:rPr>
        <w:t>s</w:t>
      </w:r>
      <w:r>
        <w:rPr>
          <w:rFonts w:ascii="Times New Roman" w:eastAsia="Times New Roman" w:hAnsi="Times New Roman" w:cs="Times New Roman"/>
          <w:color w:val="000000"/>
        </w:rPr>
        <w:t xml:space="preserve"> </w:t>
      </w:r>
      <w:r w:rsidRPr="001D4EEA">
        <w:rPr>
          <w:rFonts w:ascii="Times New Roman" w:eastAsia="Times New Roman" w:hAnsi="Times New Roman" w:cs="Times New Roman"/>
          <w:color w:val="000000"/>
        </w:rPr>
        <w:t>which should be indicated in the technical proposal and project plan.</w:t>
      </w:r>
    </w:p>
    <w:p w14:paraId="7E8543BF" w14:textId="77777777" w:rsidR="00EF2451" w:rsidRDefault="00EF2451" w:rsidP="00EF2451">
      <w:pPr>
        <w:pStyle w:val="Heading1"/>
        <w:spacing w:before="60" w:after="60"/>
        <w:jc w:val="both"/>
        <w:rPr>
          <w:rFonts w:ascii="Times New Roman" w:eastAsia="Times New Roman" w:hAnsi="Times New Roman" w:cs="Times New Roman"/>
          <w:b/>
          <w:bCs/>
          <w:smallCaps/>
          <w:color w:val="2F5496"/>
          <w:sz w:val="24"/>
          <w:szCs w:val="24"/>
        </w:rPr>
      </w:pPr>
      <w:r w:rsidRPr="1CA6CC23">
        <w:rPr>
          <w:rFonts w:ascii="Times New Roman" w:eastAsia="Times New Roman" w:hAnsi="Times New Roman" w:cs="Times New Roman"/>
          <w:b/>
          <w:bCs/>
          <w:smallCaps/>
          <w:color w:val="2F5496"/>
          <w:sz w:val="24"/>
          <w:szCs w:val="24"/>
        </w:rPr>
        <w:t>Data sharing options</w:t>
      </w:r>
    </w:p>
    <w:p w14:paraId="5984FA1C" w14:textId="77777777" w:rsidR="00EF2451" w:rsidRDefault="00EF2451" w:rsidP="00EF2451">
      <w:pPr>
        <w:jc w:val="both"/>
      </w:pPr>
      <w:r w:rsidRPr="1CA6CC23">
        <w:rPr>
          <w:rFonts w:ascii="Times New Roman" w:eastAsia="Times New Roman" w:hAnsi="Times New Roman" w:cs="Times New Roman"/>
          <w:color w:val="000000"/>
        </w:rPr>
        <w:t>Applicants</w:t>
      </w:r>
      <w:r w:rsidRPr="1CA6CC23">
        <w:rPr>
          <w:rFonts w:ascii="Times New Roman" w:eastAsia="Times New Roman" w:hAnsi="Times New Roman" w:cs="Times New Roman"/>
          <w:b/>
          <w:bCs/>
          <w:color w:val="000000"/>
        </w:rPr>
        <w:t xml:space="preserve"> must indicate willingness to share project </w:t>
      </w:r>
      <w:r>
        <w:rPr>
          <w:rFonts w:ascii="Times New Roman" w:eastAsia="Times New Roman" w:hAnsi="Times New Roman" w:cs="Times New Roman"/>
          <w:b/>
          <w:bCs/>
          <w:color w:val="000000"/>
        </w:rPr>
        <w:t>data</w:t>
      </w:r>
      <w:r w:rsidRPr="1CA6CC23">
        <w:rPr>
          <w:rFonts w:ascii="Times New Roman" w:eastAsia="Times New Roman" w:hAnsi="Times New Roman" w:cs="Times New Roman"/>
          <w:color w:val="000000"/>
        </w:rPr>
        <w:t>:</w:t>
      </w:r>
    </w:p>
    <w:p w14:paraId="5D7BEA99" w14:textId="77777777" w:rsidR="00EF2451" w:rsidRDefault="00EF2451" w:rsidP="00EF2451">
      <w:pPr>
        <w:pStyle w:val="ListParagraph"/>
        <w:numPr>
          <w:ilvl w:val="0"/>
          <w:numId w:val="4"/>
        </w:numPr>
        <w:spacing w:before="220" w:after="2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 </w:t>
      </w:r>
      <w:r w:rsidRPr="1CA6CC23">
        <w:rPr>
          <w:rFonts w:ascii="Times New Roman" w:eastAsia="Times New Roman" w:hAnsi="Times New Roman" w:cs="Times New Roman"/>
          <w:color w:val="000000"/>
        </w:rPr>
        <w:t>Open - dataset openly accessible via SUNDANSE Data Network.</w:t>
      </w:r>
    </w:p>
    <w:p w14:paraId="75E3D508" w14:textId="77777777" w:rsidR="00EF2451" w:rsidRDefault="00EF2451" w:rsidP="00EF2451">
      <w:pPr>
        <w:pStyle w:val="ListParagraph"/>
        <w:numPr>
          <w:ilvl w:val="0"/>
          <w:numId w:val="4"/>
        </w:numPr>
        <w:spacing w:before="220" w:after="2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 </w:t>
      </w:r>
      <w:r w:rsidRPr="1CA6CC23">
        <w:rPr>
          <w:rFonts w:ascii="Times New Roman" w:eastAsia="Times New Roman" w:hAnsi="Times New Roman" w:cs="Times New Roman"/>
          <w:color w:val="000000"/>
        </w:rPr>
        <w:t>Restricted - dataset catalogued but access subject to conditions.</w:t>
      </w:r>
    </w:p>
    <w:p w14:paraId="407091DC" w14:textId="77777777" w:rsidR="00EF2451" w:rsidRDefault="00EF2451" w:rsidP="00EF2451">
      <w:pPr>
        <w:rPr>
          <w:sz w:val="20"/>
          <w:szCs w:val="20"/>
          <w:lang w:val="en-US"/>
        </w:rPr>
      </w:pPr>
    </w:p>
    <w:p w14:paraId="39988BCD" w14:textId="77777777" w:rsidR="00EF2451" w:rsidRDefault="00EF2451" w:rsidP="00EF2451">
      <w:pPr>
        <w:pStyle w:val="Heading1"/>
        <w:spacing w:before="60" w:after="60"/>
        <w:jc w:val="both"/>
        <w:rPr>
          <w:rFonts w:ascii="Times New Roman" w:eastAsia="Times New Roman" w:hAnsi="Times New Roman" w:cs="Times New Roman"/>
          <w:b/>
          <w:bCs/>
          <w:smallCaps/>
          <w:color w:val="2F5496"/>
          <w:sz w:val="24"/>
          <w:szCs w:val="24"/>
        </w:rPr>
      </w:pPr>
      <w:r>
        <w:rPr>
          <w:rFonts w:ascii="Times New Roman" w:eastAsia="Times New Roman" w:hAnsi="Times New Roman" w:cs="Times New Roman"/>
          <w:b/>
          <w:bCs/>
          <w:smallCaps/>
          <w:color w:val="2F5496"/>
          <w:sz w:val="24"/>
          <w:szCs w:val="24"/>
        </w:rPr>
        <w:t>Replication</w:t>
      </w:r>
    </w:p>
    <w:p w14:paraId="2C37FA03" w14:textId="77777777" w:rsidR="00EF2451" w:rsidRPr="00080D90" w:rsidRDefault="00EF2451" w:rsidP="00EF2451">
      <w:pPr>
        <w:spacing w:before="240" w:after="240"/>
        <w:rPr>
          <w:rFonts w:ascii="Times New Roman" w:eastAsia="Times New Roman" w:hAnsi="Times New Roman" w:cs="Times New Roman"/>
          <w:color w:val="auto"/>
        </w:rPr>
      </w:pPr>
      <w:r w:rsidRPr="00080D90">
        <w:rPr>
          <w:rFonts w:ascii="Times New Roman" w:eastAsia="Times New Roman" w:hAnsi="Times New Roman" w:cs="Times New Roman"/>
          <w:color w:val="auto"/>
        </w:rPr>
        <w:t>The Open Call invites new regions to replicate the project’s pilot activities. Selected applicants will test and adapt to specific sediment monitoring, management, and/or prediction solutions to their regional context. Technical proposals must specify which aspects will be addressed and explain how the proposed activities will contribute to demonstrating the transferability of project results and developing best practices for sustainable sediment management.</w:t>
      </w:r>
    </w:p>
    <w:p w14:paraId="7A7F03F4" w14:textId="77777777" w:rsidR="00EF2451" w:rsidRDefault="00EF2451" w:rsidP="00EF2451">
      <w:pPr>
        <w:pStyle w:val="Caption"/>
        <w:keepNext/>
        <w:rPr>
          <w:lang w:val="en-US"/>
        </w:rPr>
      </w:pPr>
      <w:r>
        <w:lastRenderedPageBreak/>
        <w:t xml:space="preserve">Table </w:t>
      </w:r>
      <w:r>
        <w:fldChar w:fldCharType="begin"/>
      </w:r>
      <w:r>
        <w:instrText>SEQ Table \* ARABIC</w:instrText>
      </w:r>
      <w:r>
        <w:fldChar w:fldCharType="separate"/>
      </w:r>
      <w:r>
        <w:rPr>
          <w:noProof/>
        </w:rPr>
        <w:t>1</w:t>
      </w:r>
      <w:r>
        <w:fldChar w:fldCharType="end"/>
      </w:r>
      <w:r>
        <w:rPr>
          <w:lang w:val="en-US"/>
        </w:rPr>
        <w:t>: Replication Activities Overview</w:t>
      </w:r>
    </w:p>
    <w:tbl>
      <w:tblPr>
        <w:tblStyle w:val="GridTable4-Accent1"/>
        <w:tblW w:w="9625" w:type="dxa"/>
        <w:tblLayout w:type="fixed"/>
        <w:tblLook w:val="04A0" w:firstRow="1" w:lastRow="0" w:firstColumn="1" w:lastColumn="0" w:noHBand="0" w:noVBand="1"/>
      </w:tblPr>
      <w:tblGrid>
        <w:gridCol w:w="715"/>
        <w:gridCol w:w="1833"/>
        <w:gridCol w:w="5997"/>
        <w:gridCol w:w="1080"/>
      </w:tblGrid>
      <w:tr w:rsidR="00EF2451" w14:paraId="38975352" w14:textId="77777777" w:rsidTr="76652C09">
        <w:trPr>
          <w:cnfStyle w:val="100000000000" w:firstRow="1" w:lastRow="0" w:firstColumn="0" w:lastColumn="0" w:oddVBand="0" w:evenVBand="0" w:oddHBand="0" w:evenHBand="0" w:firstRowFirstColumn="0" w:firstRowLastColumn="0" w:lastRowFirstColumn="0" w:lastRowLastColumn="0"/>
          <w:cantSplit/>
          <w:trHeight w:val="381"/>
          <w:tblHeader/>
        </w:trPr>
        <w:tc>
          <w:tcPr>
            <w:cnfStyle w:val="001000000000" w:firstRow="0" w:lastRow="0" w:firstColumn="1" w:lastColumn="0" w:oddVBand="0" w:evenVBand="0" w:oddHBand="0" w:evenHBand="0" w:firstRowFirstColumn="0" w:firstRowLastColumn="0" w:lastRowFirstColumn="0" w:lastRowLastColumn="0"/>
            <w:tcW w:w="715" w:type="dxa"/>
            <w:vAlign w:val="center"/>
          </w:tcPr>
          <w:p w14:paraId="75C790B0" w14:textId="572B4AA8" w:rsidR="00EF2451" w:rsidRPr="00EF2451" w:rsidRDefault="00EF2451" w:rsidP="002B018E">
            <w:pPr>
              <w:pStyle w:val="BodyText"/>
              <w:jc w:val="center"/>
              <w:rPr>
                <w:rFonts w:cstheme="minorHAnsi"/>
                <w:color w:val="FFFFFF" w:themeColor="background1"/>
                <w:sz w:val="16"/>
                <w:szCs w:val="16"/>
              </w:rPr>
            </w:pPr>
            <w:r w:rsidRPr="00EF2451">
              <w:rPr>
                <w:rFonts w:cstheme="minorHAnsi"/>
                <w:color w:val="FFFFFF" w:themeColor="background1"/>
                <w:sz w:val="16"/>
                <w:szCs w:val="16"/>
              </w:rPr>
              <w:t>Reference</w:t>
            </w:r>
          </w:p>
        </w:tc>
        <w:tc>
          <w:tcPr>
            <w:tcW w:w="1833" w:type="dxa"/>
            <w:vAlign w:val="center"/>
          </w:tcPr>
          <w:p w14:paraId="0406A342" w14:textId="77777777" w:rsidR="00EF2451" w:rsidRPr="008E2B1D" w:rsidRDefault="00EF2451" w:rsidP="002B018E">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0"/>
                <w:szCs w:val="20"/>
              </w:rPr>
            </w:pPr>
            <w:r w:rsidRPr="008E2B1D">
              <w:rPr>
                <w:rFonts w:cstheme="minorHAnsi"/>
                <w:color w:val="FFFFFF" w:themeColor="background1"/>
                <w:sz w:val="20"/>
                <w:szCs w:val="20"/>
              </w:rPr>
              <w:t>Replication Activity name</w:t>
            </w:r>
          </w:p>
        </w:tc>
        <w:tc>
          <w:tcPr>
            <w:tcW w:w="5997" w:type="dxa"/>
            <w:vAlign w:val="center"/>
          </w:tcPr>
          <w:p w14:paraId="0DB1BD13" w14:textId="77777777" w:rsidR="00EF2451" w:rsidRPr="008E2B1D" w:rsidRDefault="00EF2451" w:rsidP="002B018E">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0"/>
                <w:szCs w:val="20"/>
              </w:rPr>
            </w:pPr>
            <w:r w:rsidRPr="008E2B1D">
              <w:rPr>
                <w:rFonts w:cstheme="minorHAnsi"/>
                <w:color w:val="FFFFFF" w:themeColor="background1"/>
                <w:sz w:val="20"/>
                <w:szCs w:val="20"/>
              </w:rPr>
              <w:t>Replication description</w:t>
            </w:r>
          </w:p>
        </w:tc>
        <w:tc>
          <w:tcPr>
            <w:tcW w:w="1080" w:type="dxa"/>
            <w:vAlign w:val="center"/>
          </w:tcPr>
          <w:p w14:paraId="76AF27D0" w14:textId="20B690E8" w:rsidR="00EF2451" w:rsidRPr="00EF2451" w:rsidRDefault="00EF2451" w:rsidP="00EF2451">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2"/>
                <w:szCs w:val="12"/>
              </w:rPr>
            </w:pPr>
            <w:r w:rsidRPr="00EF2451">
              <w:rPr>
                <w:rFonts w:cstheme="minorHAnsi"/>
                <w:color w:val="FFFFFF" w:themeColor="background1"/>
                <w:sz w:val="20"/>
                <w:szCs w:val="20"/>
              </w:rPr>
              <w:t>Use Case</w:t>
            </w:r>
          </w:p>
        </w:tc>
      </w:tr>
      <w:tr w:rsidR="00EF2451" w:rsidRPr="006F1EBB" w14:paraId="26A80A22" w14:textId="77777777" w:rsidTr="76652C09">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715" w:type="dxa"/>
          </w:tcPr>
          <w:p w14:paraId="206434E7" w14:textId="77777777" w:rsidR="00EF2451" w:rsidRPr="00CC0B11" w:rsidRDefault="00EF2451" w:rsidP="002B018E">
            <w:pPr>
              <w:spacing w:before="240" w:after="240"/>
              <w:rPr>
                <w:rFonts w:cstheme="minorHAnsi"/>
                <w:color w:val="1A2323" w:themeColor="text1"/>
                <w:sz w:val="20"/>
                <w:szCs w:val="20"/>
                <w:lang w:val="en-US"/>
              </w:rPr>
            </w:pPr>
            <w:r w:rsidRPr="00CC0B11">
              <w:rPr>
                <w:rFonts w:cstheme="minorHAnsi"/>
                <w:color w:val="1A2323" w:themeColor="text1"/>
                <w:sz w:val="20"/>
                <w:szCs w:val="20"/>
                <w:lang w:val="en-US"/>
              </w:rPr>
              <w:t>A1</w:t>
            </w:r>
          </w:p>
        </w:tc>
        <w:tc>
          <w:tcPr>
            <w:tcW w:w="1833" w:type="dxa"/>
          </w:tcPr>
          <w:p w14:paraId="3F4E39AA" w14:textId="77777777" w:rsidR="00EF2451" w:rsidRPr="00CC0B11" w:rsidRDefault="00EF2451" w:rsidP="002B018E">
            <w:pPr>
              <w:pStyle w:val="BodyTex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ro-RO"/>
              </w:rPr>
            </w:pPr>
            <w:r w:rsidRPr="00CC0B11">
              <w:rPr>
                <w:rFonts w:cstheme="minorHAnsi"/>
                <w:sz w:val="20"/>
                <w:szCs w:val="20"/>
                <w:lang w:val="en-US"/>
              </w:rPr>
              <w:t>Baseline assessment of the target area</w:t>
            </w:r>
          </w:p>
        </w:tc>
        <w:tc>
          <w:tcPr>
            <w:tcW w:w="5997" w:type="dxa"/>
          </w:tcPr>
          <w:p w14:paraId="37070DFE" w14:textId="77777777" w:rsidR="00EF2451" w:rsidRPr="00CC0B11" w:rsidRDefault="00EF2451" w:rsidP="002B018E">
            <w:pPr>
              <w:pStyle w:val="BodyText"/>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CC0B11">
              <w:rPr>
                <w:rFonts w:eastAsia="Times New Roman" w:cstheme="minorHAnsi"/>
                <w:sz w:val="20"/>
                <w:szCs w:val="20"/>
                <w:lang w:eastAsia="ro-RO"/>
              </w:rPr>
              <w:t xml:space="preserve">A documentation can be prepared regarding the data, methods, and procedures used locally that are not included in public databases, such as sediment measurements, erosion observations, and the potential impact of agricultural activities (e.g., aerial imagery), etc. The review will ensure a harmonized baseline knowledge, creating comparability with the original case and enabling informed decision-making in replication areas. </w:t>
            </w:r>
          </w:p>
        </w:tc>
        <w:tc>
          <w:tcPr>
            <w:tcW w:w="1080" w:type="dxa"/>
          </w:tcPr>
          <w:p w14:paraId="24B09DF2" w14:textId="77777777" w:rsidR="00EF2451" w:rsidRPr="00CC0B11" w:rsidRDefault="00EF2451" w:rsidP="002B018E">
            <w:pPr>
              <w:pStyle w:val="BodyText"/>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C0B11">
              <w:rPr>
                <w:rFonts w:cstheme="minorHAnsi"/>
                <w:sz w:val="20"/>
                <w:szCs w:val="20"/>
              </w:rPr>
              <w:t>All</w:t>
            </w:r>
          </w:p>
        </w:tc>
      </w:tr>
      <w:tr w:rsidR="00EF2451" w:rsidRPr="006F1EBB" w14:paraId="73197B29" w14:textId="77777777" w:rsidTr="76652C09">
        <w:trPr>
          <w:trHeight w:val="249"/>
        </w:trPr>
        <w:tc>
          <w:tcPr>
            <w:cnfStyle w:val="001000000000" w:firstRow="0" w:lastRow="0" w:firstColumn="1" w:lastColumn="0" w:oddVBand="0" w:evenVBand="0" w:oddHBand="0" w:evenHBand="0" w:firstRowFirstColumn="0" w:firstRowLastColumn="0" w:lastRowFirstColumn="0" w:lastRowLastColumn="0"/>
            <w:tcW w:w="715" w:type="dxa"/>
          </w:tcPr>
          <w:p w14:paraId="17997D31" w14:textId="77777777" w:rsidR="00EF2451" w:rsidRPr="00CC0B11" w:rsidRDefault="00EF2451" w:rsidP="002B018E">
            <w:pPr>
              <w:spacing w:before="240" w:after="240"/>
              <w:rPr>
                <w:rFonts w:cstheme="minorHAnsi"/>
                <w:color w:val="1A2323" w:themeColor="text1"/>
                <w:sz w:val="20"/>
                <w:szCs w:val="20"/>
              </w:rPr>
            </w:pPr>
            <w:r w:rsidRPr="00CC0B11">
              <w:rPr>
                <w:rFonts w:cstheme="minorHAnsi"/>
                <w:color w:val="1A2323" w:themeColor="text1"/>
                <w:sz w:val="20"/>
                <w:szCs w:val="20"/>
              </w:rPr>
              <w:t>A2</w:t>
            </w:r>
          </w:p>
        </w:tc>
        <w:tc>
          <w:tcPr>
            <w:tcW w:w="1833" w:type="dxa"/>
          </w:tcPr>
          <w:p w14:paraId="7664752C" w14:textId="77777777" w:rsidR="00EF2451" w:rsidRPr="00CC0B11" w:rsidRDefault="00EF2451" w:rsidP="002B018E">
            <w:pPr>
              <w:pStyle w:val="BodyTex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ro-RO"/>
              </w:rPr>
            </w:pPr>
            <w:r w:rsidRPr="00CC0B11">
              <w:rPr>
                <w:rFonts w:cstheme="minorHAnsi"/>
                <w:sz w:val="20"/>
                <w:szCs w:val="20"/>
                <w:lang w:val="en-US"/>
              </w:rPr>
              <w:t>Flow monitoring</w:t>
            </w:r>
          </w:p>
        </w:tc>
        <w:tc>
          <w:tcPr>
            <w:tcW w:w="5997" w:type="dxa"/>
          </w:tcPr>
          <w:p w14:paraId="06F017EB" w14:textId="77777777" w:rsidR="00EF2451" w:rsidRPr="00CC0B11" w:rsidRDefault="00EF2451" w:rsidP="002B018E">
            <w:pPr>
              <w:pStyle w:val="BodyText"/>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CC0B11">
              <w:rPr>
                <w:rFonts w:eastAsia="Times New Roman" w:cstheme="minorHAnsi"/>
                <w:sz w:val="20"/>
                <w:szCs w:val="20"/>
                <w:lang w:eastAsia="ro-RO"/>
              </w:rPr>
              <w:t xml:space="preserve">This activity involves the hydrological monitoring of flow regimes, discharge, and/or velocity. It can be replicated in any partner region with flowing waters by applying methodologies and procedures </w:t>
            </w:r>
            <w:proofErr w:type="gramStart"/>
            <w:r w:rsidRPr="00CC0B11">
              <w:rPr>
                <w:rFonts w:eastAsia="Times New Roman" w:cstheme="minorHAnsi"/>
                <w:sz w:val="20"/>
                <w:szCs w:val="20"/>
                <w:lang w:eastAsia="ro-RO"/>
              </w:rPr>
              <w:t>similar to</w:t>
            </w:r>
            <w:proofErr w:type="gramEnd"/>
            <w:r w:rsidRPr="00CC0B11">
              <w:rPr>
                <w:rFonts w:eastAsia="Times New Roman" w:cstheme="minorHAnsi"/>
                <w:sz w:val="20"/>
                <w:szCs w:val="20"/>
                <w:lang w:eastAsia="ro-RO"/>
              </w:rPr>
              <w:t xml:space="preserve"> those used in SUNDANSE to measure the monitored parameters. Such replication will ensure the generation of comparable datasets across sites, facilitating regional and EU-wide assessments.</w:t>
            </w:r>
          </w:p>
        </w:tc>
        <w:tc>
          <w:tcPr>
            <w:tcW w:w="1080" w:type="dxa"/>
          </w:tcPr>
          <w:p w14:paraId="43D23A75" w14:textId="77777777" w:rsidR="00EF2451" w:rsidRPr="00CC0B11" w:rsidRDefault="00EF2451" w:rsidP="002B018E">
            <w:pPr>
              <w:pStyle w:val="BodyText"/>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C0B11">
              <w:rPr>
                <w:rFonts w:cstheme="minorHAnsi"/>
                <w:sz w:val="20"/>
                <w:szCs w:val="20"/>
              </w:rPr>
              <w:t>All</w:t>
            </w:r>
          </w:p>
        </w:tc>
      </w:tr>
      <w:tr w:rsidR="00EF2451" w14:paraId="48D36329" w14:textId="77777777" w:rsidTr="76652C09">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15" w:type="dxa"/>
          </w:tcPr>
          <w:p w14:paraId="3396B9DF" w14:textId="77777777" w:rsidR="00EF2451" w:rsidRPr="00CC0B11" w:rsidRDefault="00EF2451" w:rsidP="002B018E">
            <w:pPr>
              <w:spacing w:before="240" w:after="240"/>
              <w:rPr>
                <w:rFonts w:cstheme="minorHAnsi"/>
                <w:color w:val="1A2323" w:themeColor="text1"/>
                <w:sz w:val="20"/>
                <w:szCs w:val="20"/>
                <w:lang w:val="en-US"/>
              </w:rPr>
            </w:pPr>
            <w:r w:rsidRPr="00CC0B11">
              <w:rPr>
                <w:rFonts w:cstheme="minorHAnsi"/>
                <w:color w:val="1A2323" w:themeColor="text1"/>
                <w:sz w:val="20"/>
                <w:szCs w:val="20"/>
                <w:lang w:val="en-US"/>
              </w:rPr>
              <w:t>A3</w:t>
            </w:r>
          </w:p>
        </w:tc>
        <w:tc>
          <w:tcPr>
            <w:tcW w:w="1833" w:type="dxa"/>
          </w:tcPr>
          <w:p w14:paraId="38658218" w14:textId="77777777" w:rsidR="00EF2451" w:rsidRPr="00CC0B11" w:rsidRDefault="00EF2451" w:rsidP="002B018E">
            <w:pPr>
              <w:cnfStyle w:val="000000100000" w:firstRow="0" w:lastRow="0" w:firstColumn="0" w:lastColumn="0" w:oddVBand="0" w:evenVBand="0" w:oddHBand="1" w:evenHBand="0" w:firstRowFirstColumn="0" w:firstRowLastColumn="0" w:lastRowFirstColumn="0" w:lastRowLastColumn="0"/>
              <w:rPr>
                <w:rFonts w:cstheme="minorHAnsi"/>
                <w:color w:val="1A2323" w:themeColor="text1"/>
                <w:sz w:val="20"/>
                <w:szCs w:val="20"/>
                <w:lang w:val="en-US"/>
              </w:rPr>
            </w:pPr>
            <w:r w:rsidRPr="00CC0B11">
              <w:rPr>
                <w:rFonts w:cstheme="minorHAnsi"/>
                <w:color w:val="1A2323" w:themeColor="text1"/>
                <w:sz w:val="20"/>
                <w:szCs w:val="20"/>
                <w:lang w:val="en-US"/>
              </w:rPr>
              <w:t>Mapping the target area</w:t>
            </w:r>
          </w:p>
        </w:tc>
        <w:tc>
          <w:tcPr>
            <w:tcW w:w="5997" w:type="dxa"/>
          </w:tcPr>
          <w:p w14:paraId="293CA3A5" w14:textId="77777777" w:rsidR="00EF2451" w:rsidRPr="00CC0B11" w:rsidRDefault="00EF2451" w:rsidP="002B018E">
            <w:pPr>
              <w:cnfStyle w:val="000000100000" w:firstRow="0" w:lastRow="0" w:firstColumn="0" w:lastColumn="0" w:oddVBand="0" w:evenVBand="0" w:oddHBand="1" w:evenHBand="0" w:firstRowFirstColumn="0" w:firstRowLastColumn="0" w:lastRowFirstColumn="0" w:lastRowLastColumn="0"/>
              <w:rPr>
                <w:rFonts w:cstheme="minorHAnsi"/>
                <w:color w:val="1A2323" w:themeColor="text1"/>
                <w:sz w:val="20"/>
                <w:szCs w:val="20"/>
                <w:lang w:val="en-US"/>
              </w:rPr>
            </w:pPr>
            <w:r w:rsidRPr="00CC0B11">
              <w:rPr>
                <w:rFonts w:cstheme="minorHAnsi"/>
                <w:color w:val="1A2323" w:themeColor="text1"/>
                <w:sz w:val="20"/>
                <w:szCs w:val="20"/>
                <w:lang w:val="en-US"/>
              </w:rPr>
              <w:t>Remote sensing, GIS tools, and open-access datasets can be used to fully replicate this activity. By applying harmonized geospatial standards and performing comparative analyses of land use, hydrology, and pollution drivers across regions, the transferability of results can be greatly enhanced.</w:t>
            </w:r>
          </w:p>
        </w:tc>
        <w:tc>
          <w:tcPr>
            <w:tcW w:w="1080" w:type="dxa"/>
          </w:tcPr>
          <w:p w14:paraId="165EAB04" w14:textId="77777777" w:rsidR="00EF2451" w:rsidRPr="00CC0B11" w:rsidRDefault="00EF2451" w:rsidP="002B018E">
            <w:pPr>
              <w:pStyle w:val="BodyText"/>
              <w:jc w:val="center"/>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CC0B11">
              <w:rPr>
                <w:rFonts w:cstheme="minorHAnsi"/>
                <w:sz w:val="20"/>
                <w:szCs w:val="20"/>
              </w:rPr>
              <w:t>All</w:t>
            </w:r>
          </w:p>
        </w:tc>
      </w:tr>
      <w:tr w:rsidR="00EF2451" w14:paraId="3F61144A" w14:textId="77777777" w:rsidTr="76652C09">
        <w:trPr>
          <w:trHeight w:val="57"/>
        </w:trPr>
        <w:tc>
          <w:tcPr>
            <w:cnfStyle w:val="001000000000" w:firstRow="0" w:lastRow="0" w:firstColumn="1" w:lastColumn="0" w:oddVBand="0" w:evenVBand="0" w:oddHBand="0" w:evenHBand="0" w:firstRowFirstColumn="0" w:firstRowLastColumn="0" w:lastRowFirstColumn="0" w:lastRowLastColumn="0"/>
            <w:tcW w:w="715" w:type="dxa"/>
          </w:tcPr>
          <w:p w14:paraId="70900A43" w14:textId="77777777" w:rsidR="00EF2451" w:rsidRPr="00CC0B11" w:rsidRDefault="00EF2451" w:rsidP="002B018E">
            <w:pPr>
              <w:spacing w:before="240" w:after="240"/>
              <w:rPr>
                <w:rFonts w:cstheme="minorHAnsi"/>
                <w:color w:val="1A2323" w:themeColor="text1"/>
                <w:sz w:val="20"/>
                <w:szCs w:val="20"/>
                <w:lang w:val="ro-RO"/>
              </w:rPr>
            </w:pPr>
            <w:r w:rsidRPr="00CC0B11">
              <w:rPr>
                <w:rFonts w:cstheme="minorHAnsi"/>
                <w:color w:val="1A2323" w:themeColor="text1"/>
                <w:sz w:val="20"/>
                <w:szCs w:val="20"/>
                <w:lang w:val="ro-RO"/>
              </w:rPr>
              <w:t>A</w:t>
            </w:r>
            <w:r>
              <w:rPr>
                <w:rFonts w:cstheme="minorHAnsi"/>
                <w:color w:val="1A2323" w:themeColor="text1"/>
                <w:sz w:val="20"/>
                <w:szCs w:val="20"/>
                <w:lang w:val="ro-RO"/>
              </w:rPr>
              <w:t>4</w:t>
            </w:r>
          </w:p>
        </w:tc>
        <w:tc>
          <w:tcPr>
            <w:tcW w:w="1833" w:type="dxa"/>
          </w:tcPr>
          <w:p w14:paraId="60E69B88" w14:textId="77777777" w:rsidR="00EF2451" w:rsidRPr="00CC0B11" w:rsidRDefault="00EF2451" w:rsidP="002B018E">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CC0B11">
              <w:rPr>
                <w:rFonts w:cstheme="minorHAnsi"/>
                <w:sz w:val="20"/>
                <w:szCs w:val="20"/>
                <w:lang w:val="en-US"/>
              </w:rPr>
              <w:t>Sediment quantity monitoring</w:t>
            </w:r>
          </w:p>
        </w:tc>
        <w:tc>
          <w:tcPr>
            <w:tcW w:w="5997" w:type="dxa"/>
          </w:tcPr>
          <w:p w14:paraId="09E99F87" w14:textId="2714E85E" w:rsidR="00EF2451" w:rsidRPr="00CC0B11" w:rsidRDefault="00EF2451" w:rsidP="7615752D">
            <w:pPr>
              <w:pStyle w:val="BodyText"/>
              <w:spacing w:after="0"/>
              <w:cnfStyle w:val="000000000000" w:firstRow="0" w:lastRow="0" w:firstColumn="0" w:lastColumn="0" w:oddVBand="0" w:evenVBand="0" w:oddHBand="0" w:evenHBand="0" w:firstRowFirstColumn="0" w:firstRowLastColumn="0" w:lastRowFirstColumn="0" w:lastRowLastColumn="0"/>
              <w:rPr>
                <w:rFonts w:cstheme="minorBidi"/>
                <w:sz w:val="20"/>
                <w:szCs w:val="20"/>
              </w:rPr>
            </w:pPr>
            <w:r w:rsidRPr="7615752D">
              <w:rPr>
                <w:rFonts w:cstheme="minorBidi"/>
                <w:sz w:val="20"/>
                <w:szCs w:val="20"/>
                <w:lang w:val="en-US"/>
              </w:rPr>
              <w:t xml:space="preserve">This activity can be replicated using consistent sampling protocols (e.g., depth-integrated samplers, turbidity sensors), ensuring strong cross-site comparability. It provides essential input for assessing sediment balance in associated regions by applying methodologies and procedures </w:t>
            </w:r>
            <w:proofErr w:type="gramStart"/>
            <w:r w:rsidRPr="7615752D">
              <w:rPr>
                <w:rFonts w:cstheme="minorBidi"/>
                <w:sz w:val="20"/>
                <w:szCs w:val="20"/>
                <w:lang w:val="en-US"/>
              </w:rPr>
              <w:t>similar to</w:t>
            </w:r>
            <w:proofErr w:type="gramEnd"/>
            <w:r w:rsidRPr="7615752D">
              <w:rPr>
                <w:rFonts w:cstheme="minorBidi"/>
                <w:sz w:val="20"/>
                <w:szCs w:val="20"/>
                <w:lang w:val="en-US"/>
              </w:rPr>
              <w:t xml:space="preserve"> those used in SUNDANSE to measure the monitored parameters.</w:t>
            </w:r>
          </w:p>
        </w:tc>
        <w:tc>
          <w:tcPr>
            <w:tcW w:w="1080" w:type="dxa"/>
          </w:tcPr>
          <w:p w14:paraId="6299BFD4" w14:textId="77777777" w:rsidR="00EF2451" w:rsidRPr="00CC0B11" w:rsidRDefault="00EF2451" w:rsidP="002B018E">
            <w:pPr>
              <w:pStyle w:val="BodyText"/>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C0B11">
              <w:rPr>
                <w:rFonts w:cstheme="minorHAnsi"/>
                <w:sz w:val="20"/>
                <w:szCs w:val="20"/>
              </w:rPr>
              <w:t xml:space="preserve">All </w:t>
            </w:r>
          </w:p>
        </w:tc>
      </w:tr>
      <w:tr w:rsidR="00EF2451" w14:paraId="37A5CBBC" w14:textId="77777777" w:rsidTr="76652C09">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15" w:type="dxa"/>
            <w:shd w:val="clear" w:color="auto" w:fill="D8EEEF" w:themeFill="accent2" w:themeFillTint="33"/>
          </w:tcPr>
          <w:p w14:paraId="0A54206B" w14:textId="77777777" w:rsidR="00EF2451" w:rsidRPr="00CC0B11" w:rsidRDefault="00EF2451" w:rsidP="002B018E">
            <w:pPr>
              <w:spacing w:before="240" w:after="240"/>
              <w:rPr>
                <w:rFonts w:cstheme="minorHAnsi"/>
                <w:color w:val="1A2323" w:themeColor="text1"/>
                <w:sz w:val="20"/>
                <w:szCs w:val="20"/>
              </w:rPr>
            </w:pPr>
            <w:r w:rsidRPr="00CC0B11">
              <w:rPr>
                <w:rFonts w:cstheme="minorHAnsi"/>
                <w:color w:val="1A2323" w:themeColor="text1"/>
                <w:sz w:val="20"/>
                <w:szCs w:val="20"/>
              </w:rPr>
              <w:t>A</w:t>
            </w:r>
            <w:r>
              <w:rPr>
                <w:rFonts w:cstheme="minorHAnsi"/>
                <w:color w:val="1A2323" w:themeColor="text1"/>
                <w:sz w:val="20"/>
                <w:szCs w:val="20"/>
              </w:rPr>
              <w:t>5</w:t>
            </w:r>
          </w:p>
        </w:tc>
        <w:tc>
          <w:tcPr>
            <w:tcW w:w="1833" w:type="dxa"/>
            <w:shd w:val="clear" w:color="auto" w:fill="D8EEEF" w:themeFill="accent2" w:themeFillTint="33"/>
          </w:tcPr>
          <w:p w14:paraId="586C71ED" w14:textId="77777777" w:rsidR="00EF2451" w:rsidRPr="00CC0B11" w:rsidRDefault="00EF2451" w:rsidP="002B018E">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CC0B11">
              <w:rPr>
                <w:rFonts w:cstheme="minorHAnsi"/>
                <w:sz w:val="20"/>
                <w:szCs w:val="20"/>
                <w:lang w:val="en-US"/>
              </w:rPr>
              <w:t>Granulometric characterization of suspended and/or benthic sediments</w:t>
            </w:r>
          </w:p>
        </w:tc>
        <w:tc>
          <w:tcPr>
            <w:tcW w:w="5997" w:type="dxa"/>
            <w:shd w:val="clear" w:color="auto" w:fill="D8EEEF" w:themeFill="accent2" w:themeFillTint="33"/>
          </w:tcPr>
          <w:p w14:paraId="535B6EC2" w14:textId="77777777" w:rsidR="00EF2451" w:rsidRPr="00CC0B11" w:rsidRDefault="00EF2451" w:rsidP="002B018E">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CC0B11">
              <w:rPr>
                <w:rFonts w:cstheme="minorHAnsi"/>
                <w:sz w:val="20"/>
                <w:szCs w:val="20"/>
                <w:lang w:val="en-US"/>
              </w:rPr>
              <w:t xml:space="preserve">Laboratory sieves, laser diffraction, and/or frequency methods can be used for particle size distribution analysis by applying methodologies and procedures </w:t>
            </w:r>
            <w:proofErr w:type="gramStart"/>
            <w:r w:rsidRPr="00CC0B11">
              <w:rPr>
                <w:rFonts w:cstheme="minorHAnsi"/>
                <w:sz w:val="20"/>
                <w:szCs w:val="20"/>
                <w:lang w:val="en-US"/>
              </w:rPr>
              <w:t>similar to</w:t>
            </w:r>
            <w:proofErr w:type="gramEnd"/>
            <w:r w:rsidRPr="00CC0B11">
              <w:rPr>
                <w:rFonts w:cstheme="minorHAnsi"/>
                <w:sz w:val="20"/>
                <w:szCs w:val="20"/>
                <w:lang w:val="en-US"/>
              </w:rPr>
              <w:t xml:space="preserve"> those used in SUNDANSE for monitoring the same parameters. Replication of this activity guarantees consistent data across the targeted regions, supporting sediment transport modelling and ecological risk assessments.</w:t>
            </w:r>
          </w:p>
        </w:tc>
        <w:tc>
          <w:tcPr>
            <w:tcW w:w="1080" w:type="dxa"/>
            <w:shd w:val="clear" w:color="auto" w:fill="D8EEEF" w:themeFill="accent2" w:themeFillTint="33"/>
          </w:tcPr>
          <w:p w14:paraId="75B4E443" w14:textId="77777777" w:rsidR="00EF2451" w:rsidRPr="00CC0B11" w:rsidRDefault="00EF2451" w:rsidP="002B018E">
            <w:pPr>
              <w:pStyle w:val="BodyText"/>
              <w:jc w:val="center"/>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CC0B11">
              <w:rPr>
                <w:rFonts w:cstheme="minorHAnsi"/>
                <w:sz w:val="20"/>
                <w:szCs w:val="20"/>
              </w:rPr>
              <w:t>All</w:t>
            </w:r>
          </w:p>
        </w:tc>
      </w:tr>
      <w:tr w:rsidR="00EF2451" w14:paraId="1F1C49F5" w14:textId="77777777" w:rsidTr="76652C09">
        <w:trPr>
          <w:trHeight w:val="57"/>
        </w:trPr>
        <w:tc>
          <w:tcPr>
            <w:cnfStyle w:val="001000000000" w:firstRow="0" w:lastRow="0" w:firstColumn="1" w:lastColumn="0" w:oddVBand="0" w:evenVBand="0" w:oddHBand="0" w:evenHBand="0" w:firstRowFirstColumn="0" w:firstRowLastColumn="0" w:lastRowFirstColumn="0" w:lastRowLastColumn="0"/>
            <w:tcW w:w="715" w:type="dxa"/>
          </w:tcPr>
          <w:p w14:paraId="6E85CCA0" w14:textId="77777777" w:rsidR="00EF2451" w:rsidRPr="00CC0B11" w:rsidRDefault="00EF2451" w:rsidP="002B018E">
            <w:pPr>
              <w:spacing w:before="240" w:after="240"/>
              <w:rPr>
                <w:rFonts w:cstheme="minorHAnsi"/>
                <w:color w:val="1A2323" w:themeColor="text1"/>
                <w:sz w:val="20"/>
                <w:szCs w:val="20"/>
                <w:lang w:val="en-US"/>
              </w:rPr>
            </w:pPr>
            <w:r w:rsidRPr="00CC0B11">
              <w:rPr>
                <w:rFonts w:cstheme="minorHAnsi"/>
                <w:color w:val="1A2323" w:themeColor="text1"/>
                <w:sz w:val="20"/>
                <w:szCs w:val="20"/>
                <w:lang w:val="en-US"/>
              </w:rPr>
              <w:t>A</w:t>
            </w:r>
            <w:r>
              <w:rPr>
                <w:rFonts w:cstheme="minorHAnsi"/>
                <w:color w:val="1A2323" w:themeColor="text1"/>
                <w:sz w:val="20"/>
                <w:szCs w:val="20"/>
                <w:lang w:val="en-US"/>
              </w:rPr>
              <w:t>6</w:t>
            </w:r>
          </w:p>
        </w:tc>
        <w:tc>
          <w:tcPr>
            <w:tcW w:w="1833" w:type="dxa"/>
          </w:tcPr>
          <w:p w14:paraId="1E081475" w14:textId="77777777" w:rsidR="00EF2451" w:rsidRPr="00CC0B11" w:rsidRDefault="00EF2451" w:rsidP="002B018E">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CC0B11">
              <w:rPr>
                <w:rFonts w:cstheme="minorHAnsi"/>
                <w:sz w:val="20"/>
                <w:szCs w:val="20"/>
                <w:lang w:val="en-US"/>
              </w:rPr>
              <w:t>Microplastic contamination assessment in suspended and/or benthic sediments</w:t>
            </w:r>
          </w:p>
        </w:tc>
        <w:tc>
          <w:tcPr>
            <w:tcW w:w="5997" w:type="dxa"/>
          </w:tcPr>
          <w:p w14:paraId="37058992" w14:textId="27B6F23A" w:rsidR="00EF2451" w:rsidRPr="00CC0B11" w:rsidRDefault="00EF2451" w:rsidP="76652C09">
            <w:pPr>
              <w:pStyle w:val="BodyText"/>
              <w:spacing w:after="0"/>
              <w:cnfStyle w:val="000000000000" w:firstRow="0" w:lastRow="0" w:firstColumn="0" w:lastColumn="0" w:oddVBand="0" w:evenVBand="0" w:oddHBand="0" w:evenHBand="0" w:firstRowFirstColumn="0" w:firstRowLastColumn="0" w:lastRowFirstColumn="0" w:lastRowLastColumn="0"/>
              <w:rPr>
                <w:rFonts w:cstheme="minorBidi"/>
                <w:sz w:val="20"/>
                <w:szCs w:val="20"/>
                <w:u w:val="single"/>
                <w:lang w:val="en-US"/>
              </w:rPr>
            </w:pPr>
            <w:r w:rsidRPr="76652C09">
              <w:rPr>
                <w:rFonts w:cstheme="minorBidi"/>
                <w:sz w:val="20"/>
                <w:szCs w:val="20"/>
                <w:lang w:val="en-US"/>
              </w:rPr>
              <w:t xml:space="preserve">This activity can be replicated following the extraction and identification techniques and protocols used in the project (e.g., density separation, µFT-IR spectroscopy analysis, etc.) by applying methodologies and procedures </w:t>
            </w:r>
            <w:proofErr w:type="gramStart"/>
            <w:r w:rsidRPr="76652C09">
              <w:rPr>
                <w:rFonts w:cstheme="minorBidi"/>
                <w:sz w:val="20"/>
                <w:szCs w:val="20"/>
                <w:lang w:val="en-US"/>
              </w:rPr>
              <w:t>similar to</w:t>
            </w:r>
            <w:proofErr w:type="gramEnd"/>
            <w:r w:rsidRPr="76652C09">
              <w:rPr>
                <w:rFonts w:cstheme="minorBidi"/>
                <w:sz w:val="20"/>
                <w:szCs w:val="20"/>
                <w:lang w:val="en-US"/>
              </w:rPr>
              <w:t xml:space="preserve"> those used in SUNDANSE for monitoring the same parameters. Obtained results can provide important information about pollution profiles of the targeted region and ensure a cross-regional benchmarking.</w:t>
            </w:r>
          </w:p>
        </w:tc>
        <w:tc>
          <w:tcPr>
            <w:tcW w:w="1080" w:type="dxa"/>
          </w:tcPr>
          <w:p w14:paraId="6A7B814D" w14:textId="77777777" w:rsidR="00EF2451" w:rsidRPr="00CC0B11" w:rsidRDefault="00EF2451" w:rsidP="002B018E">
            <w:pPr>
              <w:pStyle w:val="BodyText"/>
              <w:jc w:val="center"/>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CC0B11">
              <w:rPr>
                <w:rFonts w:cstheme="minorHAnsi"/>
                <w:sz w:val="20"/>
                <w:szCs w:val="20"/>
              </w:rPr>
              <w:t>All</w:t>
            </w:r>
          </w:p>
        </w:tc>
      </w:tr>
      <w:tr w:rsidR="00EF2451" w14:paraId="48389827" w14:textId="77777777" w:rsidTr="76652C09">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15" w:type="dxa"/>
            <w:shd w:val="clear" w:color="auto" w:fill="D8EEEF" w:themeFill="accent2" w:themeFillTint="33"/>
          </w:tcPr>
          <w:p w14:paraId="1B4DED76" w14:textId="77777777" w:rsidR="00EF2451" w:rsidRPr="00CC0B11" w:rsidRDefault="00EF2451" w:rsidP="002B018E">
            <w:pPr>
              <w:spacing w:before="240" w:after="240"/>
              <w:rPr>
                <w:rFonts w:cstheme="minorHAnsi"/>
                <w:color w:val="1A2323" w:themeColor="text1"/>
                <w:sz w:val="20"/>
                <w:szCs w:val="20"/>
              </w:rPr>
            </w:pPr>
            <w:r w:rsidRPr="00CC0B11">
              <w:rPr>
                <w:rFonts w:cstheme="minorHAnsi"/>
                <w:color w:val="1A2323" w:themeColor="text1"/>
                <w:sz w:val="20"/>
                <w:szCs w:val="20"/>
              </w:rPr>
              <w:t>A</w:t>
            </w:r>
            <w:r>
              <w:rPr>
                <w:rFonts w:cstheme="minorHAnsi"/>
                <w:color w:val="1A2323" w:themeColor="text1"/>
                <w:sz w:val="20"/>
                <w:szCs w:val="20"/>
              </w:rPr>
              <w:t>7</w:t>
            </w:r>
          </w:p>
        </w:tc>
        <w:tc>
          <w:tcPr>
            <w:tcW w:w="1833" w:type="dxa"/>
            <w:shd w:val="clear" w:color="auto" w:fill="D8EEEF" w:themeFill="accent2" w:themeFillTint="33"/>
          </w:tcPr>
          <w:p w14:paraId="179B76DA" w14:textId="77777777" w:rsidR="00EF2451" w:rsidRPr="00CC0B11" w:rsidRDefault="00EF2451" w:rsidP="002B018E">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CC0B11">
              <w:rPr>
                <w:rFonts w:cstheme="minorHAnsi"/>
                <w:sz w:val="20"/>
                <w:szCs w:val="20"/>
                <w:lang w:val="en-US"/>
              </w:rPr>
              <w:t>Analysis of microorganic pollutants (PAHs, PCBs, pesticides, tire additives) in sediment samples</w:t>
            </w:r>
          </w:p>
        </w:tc>
        <w:tc>
          <w:tcPr>
            <w:tcW w:w="5997" w:type="dxa"/>
            <w:shd w:val="clear" w:color="auto" w:fill="D8EEEF" w:themeFill="accent2" w:themeFillTint="33"/>
          </w:tcPr>
          <w:p w14:paraId="422B3866" w14:textId="77777777" w:rsidR="00EF2451" w:rsidRPr="00CC0B11" w:rsidRDefault="00EF2451" w:rsidP="002B018E">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20"/>
                <w:szCs w:val="20"/>
                <w:u w:val="single"/>
                <w:lang w:val="en-US"/>
              </w:rPr>
            </w:pPr>
            <w:r w:rsidRPr="00CC0B11">
              <w:rPr>
                <w:rFonts w:cstheme="minorHAnsi"/>
                <w:sz w:val="20"/>
                <w:szCs w:val="20"/>
                <w:lang w:val="en-US"/>
              </w:rPr>
              <w:t xml:space="preserve">Replication relies on established analytical protocols developed during the project using the GC-MS technique and methods by applying methodologies and procedures </w:t>
            </w:r>
            <w:proofErr w:type="gramStart"/>
            <w:r w:rsidRPr="00CC0B11">
              <w:rPr>
                <w:rFonts w:cstheme="minorHAnsi"/>
                <w:sz w:val="20"/>
                <w:szCs w:val="20"/>
                <w:lang w:val="en-US"/>
              </w:rPr>
              <w:t>similar to</w:t>
            </w:r>
            <w:proofErr w:type="gramEnd"/>
            <w:r w:rsidRPr="00CC0B11">
              <w:rPr>
                <w:rFonts w:cstheme="minorHAnsi"/>
                <w:sz w:val="20"/>
                <w:szCs w:val="20"/>
                <w:lang w:val="en-US"/>
              </w:rPr>
              <w:t xml:space="preserve"> those used in SUNDANSE for monitoring the same parameters. This approach will allow determination of the contaminant profiles for the targeted </w:t>
            </w:r>
            <w:r w:rsidRPr="00CC0B11">
              <w:rPr>
                <w:rFonts w:cstheme="minorHAnsi"/>
                <w:sz w:val="20"/>
                <w:szCs w:val="20"/>
                <w:lang w:val="en-US"/>
              </w:rPr>
              <w:lastRenderedPageBreak/>
              <w:t>region, highlighting local pollution pressures and transferability of mitigation measures.</w:t>
            </w:r>
          </w:p>
        </w:tc>
        <w:tc>
          <w:tcPr>
            <w:tcW w:w="1080" w:type="dxa"/>
            <w:shd w:val="clear" w:color="auto" w:fill="D8EEEF" w:themeFill="accent2" w:themeFillTint="33"/>
          </w:tcPr>
          <w:p w14:paraId="0F1F8B88" w14:textId="77777777" w:rsidR="00EF2451" w:rsidRPr="00CC0B11" w:rsidRDefault="00EF2451" w:rsidP="002B018E">
            <w:pPr>
              <w:pStyle w:val="BodyText"/>
              <w:jc w:val="center"/>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CC0B11">
              <w:rPr>
                <w:rFonts w:cstheme="minorHAnsi"/>
                <w:sz w:val="20"/>
                <w:szCs w:val="20"/>
              </w:rPr>
              <w:lastRenderedPageBreak/>
              <w:t>All</w:t>
            </w:r>
          </w:p>
        </w:tc>
      </w:tr>
      <w:tr w:rsidR="00EF2451" w14:paraId="4AB7BAE6" w14:textId="77777777" w:rsidTr="76652C09">
        <w:trPr>
          <w:trHeight w:val="57"/>
        </w:trPr>
        <w:tc>
          <w:tcPr>
            <w:cnfStyle w:val="001000000000" w:firstRow="0" w:lastRow="0" w:firstColumn="1" w:lastColumn="0" w:oddVBand="0" w:evenVBand="0" w:oddHBand="0" w:evenHBand="0" w:firstRowFirstColumn="0" w:firstRowLastColumn="0" w:lastRowFirstColumn="0" w:lastRowLastColumn="0"/>
            <w:tcW w:w="715" w:type="dxa"/>
          </w:tcPr>
          <w:p w14:paraId="3E31EF67" w14:textId="77777777" w:rsidR="00EF2451" w:rsidRPr="00CC0B11" w:rsidRDefault="00EF2451" w:rsidP="002B018E">
            <w:pPr>
              <w:spacing w:before="240" w:after="240"/>
              <w:rPr>
                <w:rFonts w:cstheme="minorHAnsi"/>
                <w:color w:val="1A2323" w:themeColor="text1"/>
                <w:sz w:val="20"/>
                <w:szCs w:val="20"/>
              </w:rPr>
            </w:pPr>
            <w:r w:rsidRPr="00CC0B11">
              <w:rPr>
                <w:rFonts w:cstheme="minorHAnsi"/>
                <w:color w:val="1A2323" w:themeColor="text1"/>
                <w:sz w:val="20"/>
                <w:szCs w:val="20"/>
              </w:rPr>
              <w:t>A</w:t>
            </w:r>
            <w:r>
              <w:rPr>
                <w:rFonts w:cstheme="minorHAnsi"/>
                <w:color w:val="1A2323" w:themeColor="text1"/>
                <w:sz w:val="20"/>
                <w:szCs w:val="20"/>
              </w:rPr>
              <w:t>8</w:t>
            </w:r>
          </w:p>
        </w:tc>
        <w:tc>
          <w:tcPr>
            <w:tcW w:w="1833" w:type="dxa"/>
          </w:tcPr>
          <w:p w14:paraId="1CBA1717" w14:textId="77777777" w:rsidR="00EF2451" w:rsidRPr="00CC0B11" w:rsidRDefault="00EF2451" w:rsidP="002B018E">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CC0B11">
              <w:rPr>
                <w:rFonts w:cstheme="minorHAnsi"/>
                <w:sz w:val="20"/>
                <w:szCs w:val="20"/>
                <w:lang w:val="en-US"/>
              </w:rPr>
              <w:t>Toxic metal contamination assessment in sediment samples (Pb, Cu, Cd, Zn, etc.)</w:t>
            </w:r>
          </w:p>
        </w:tc>
        <w:tc>
          <w:tcPr>
            <w:tcW w:w="5997" w:type="dxa"/>
          </w:tcPr>
          <w:p w14:paraId="2A148A93" w14:textId="77777777" w:rsidR="00EF2451" w:rsidRPr="00CC0B11" w:rsidRDefault="00EF2451" w:rsidP="002B018E">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u w:val="single"/>
                <w:lang w:val="en-US"/>
              </w:rPr>
            </w:pPr>
            <w:r w:rsidRPr="00CC0B11">
              <w:rPr>
                <w:rFonts w:cstheme="minorHAnsi"/>
                <w:sz w:val="20"/>
                <w:szCs w:val="20"/>
                <w:lang w:val="en-US"/>
              </w:rPr>
              <w:t xml:space="preserve">This activity is reproducible by using standard digestion and ICP-MS and/or XRF techniques by applying methodologies and procedures </w:t>
            </w:r>
            <w:proofErr w:type="gramStart"/>
            <w:r w:rsidRPr="00CC0B11">
              <w:rPr>
                <w:rFonts w:cstheme="minorHAnsi"/>
                <w:sz w:val="20"/>
                <w:szCs w:val="20"/>
                <w:lang w:val="en-US"/>
              </w:rPr>
              <w:t>similar to</w:t>
            </w:r>
            <w:proofErr w:type="gramEnd"/>
            <w:r w:rsidRPr="00CC0B11">
              <w:rPr>
                <w:rFonts w:cstheme="minorHAnsi"/>
                <w:sz w:val="20"/>
                <w:szCs w:val="20"/>
                <w:lang w:val="en-US"/>
              </w:rPr>
              <w:t xml:space="preserve"> those used in SUNDANSE for monitoring the same parameters. The results obtained will ensure cross-site comparability and will enable regional mapping of metal pollution hotspots and support risk-based management.</w:t>
            </w:r>
          </w:p>
        </w:tc>
        <w:tc>
          <w:tcPr>
            <w:tcW w:w="1080" w:type="dxa"/>
          </w:tcPr>
          <w:p w14:paraId="7114EC3C" w14:textId="77777777" w:rsidR="00EF2451" w:rsidRPr="00CC0B11" w:rsidRDefault="00EF2451" w:rsidP="002B018E">
            <w:pPr>
              <w:pStyle w:val="BodyText"/>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C0B11">
              <w:rPr>
                <w:rFonts w:cstheme="minorHAnsi"/>
                <w:sz w:val="20"/>
                <w:szCs w:val="20"/>
              </w:rPr>
              <w:t>ALL</w:t>
            </w:r>
          </w:p>
        </w:tc>
      </w:tr>
      <w:tr w:rsidR="00EF2451" w14:paraId="4D772140" w14:textId="77777777" w:rsidTr="76652C09">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15" w:type="dxa"/>
            <w:shd w:val="clear" w:color="auto" w:fill="D8EEEF" w:themeFill="accent2" w:themeFillTint="33"/>
          </w:tcPr>
          <w:p w14:paraId="0589E233" w14:textId="77777777" w:rsidR="00EF2451" w:rsidRPr="00CC0B11" w:rsidRDefault="00EF2451" w:rsidP="002B018E">
            <w:pPr>
              <w:spacing w:before="240" w:after="240"/>
              <w:rPr>
                <w:rFonts w:cstheme="minorHAnsi"/>
                <w:color w:val="1A2323" w:themeColor="text1"/>
                <w:sz w:val="20"/>
                <w:szCs w:val="20"/>
              </w:rPr>
            </w:pPr>
            <w:r w:rsidRPr="00CC0B11">
              <w:rPr>
                <w:rFonts w:cstheme="minorHAnsi"/>
                <w:color w:val="1A2323" w:themeColor="text1"/>
                <w:sz w:val="20"/>
                <w:szCs w:val="20"/>
              </w:rPr>
              <w:t>A</w:t>
            </w:r>
            <w:r>
              <w:rPr>
                <w:rFonts w:cstheme="minorHAnsi"/>
                <w:color w:val="1A2323" w:themeColor="text1"/>
                <w:sz w:val="20"/>
                <w:szCs w:val="20"/>
              </w:rPr>
              <w:t>9</w:t>
            </w:r>
          </w:p>
        </w:tc>
        <w:tc>
          <w:tcPr>
            <w:tcW w:w="1833" w:type="dxa"/>
            <w:shd w:val="clear" w:color="auto" w:fill="D8EEEF" w:themeFill="accent2" w:themeFillTint="33"/>
          </w:tcPr>
          <w:p w14:paraId="15B76D6F" w14:textId="77777777" w:rsidR="00EF2451" w:rsidRPr="00CC0B11" w:rsidRDefault="00EF2451" w:rsidP="002B018E">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CC0B11">
              <w:rPr>
                <w:rFonts w:cstheme="minorHAnsi"/>
                <w:sz w:val="20"/>
                <w:szCs w:val="20"/>
                <w:lang w:val="en-US"/>
              </w:rPr>
              <w:t>Toxicity evaluation of suspended sediment samples</w:t>
            </w:r>
          </w:p>
        </w:tc>
        <w:tc>
          <w:tcPr>
            <w:tcW w:w="5997" w:type="dxa"/>
            <w:shd w:val="clear" w:color="auto" w:fill="D8EEEF" w:themeFill="accent2" w:themeFillTint="33"/>
          </w:tcPr>
          <w:p w14:paraId="38EE09ED" w14:textId="77777777" w:rsidR="00EF2451" w:rsidRPr="00CC0B11" w:rsidRDefault="00EF2451" w:rsidP="002B018E">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20"/>
                <w:szCs w:val="20"/>
                <w:u w:val="single"/>
                <w:lang w:val="en-US"/>
              </w:rPr>
            </w:pPr>
            <w:r w:rsidRPr="00CC0B11">
              <w:rPr>
                <w:rFonts w:cstheme="minorHAnsi"/>
                <w:sz w:val="20"/>
                <w:szCs w:val="20"/>
                <w:lang w:val="en-US"/>
              </w:rPr>
              <w:t xml:space="preserve">This replication activity enables a harmonized evaluation of ecotoxicological risks across diverse ecosystems. The use of standardized bioassays (e.g., luminescent bacteria, benthic invertebrates) ensures that SUNDANSE-related activities in associated regions are reproducible and comparable, following methodologies and procedures </w:t>
            </w:r>
            <w:proofErr w:type="gramStart"/>
            <w:r w:rsidRPr="00CC0B11">
              <w:rPr>
                <w:rFonts w:cstheme="minorHAnsi"/>
                <w:sz w:val="20"/>
                <w:szCs w:val="20"/>
                <w:lang w:val="en-US"/>
              </w:rPr>
              <w:t>similar to</w:t>
            </w:r>
            <w:proofErr w:type="gramEnd"/>
            <w:r w:rsidRPr="00CC0B11">
              <w:rPr>
                <w:rFonts w:cstheme="minorHAnsi"/>
                <w:sz w:val="20"/>
                <w:szCs w:val="20"/>
                <w:lang w:val="en-US"/>
              </w:rPr>
              <w:t xml:space="preserve"> those applied in SUNDANSE for monitoring the same parameters.</w:t>
            </w:r>
          </w:p>
        </w:tc>
        <w:tc>
          <w:tcPr>
            <w:tcW w:w="1080" w:type="dxa"/>
            <w:shd w:val="clear" w:color="auto" w:fill="D8EEEF" w:themeFill="accent2" w:themeFillTint="33"/>
          </w:tcPr>
          <w:p w14:paraId="1EFF9155" w14:textId="77777777" w:rsidR="00EF2451" w:rsidRPr="00CC0B11" w:rsidRDefault="00EF2451" w:rsidP="002B018E">
            <w:pPr>
              <w:pStyle w:val="BodyText"/>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C0B11">
              <w:rPr>
                <w:rFonts w:cstheme="minorHAnsi"/>
                <w:sz w:val="20"/>
                <w:szCs w:val="20"/>
              </w:rPr>
              <w:t>ALL</w:t>
            </w:r>
          </w:p>
        </w:tc>
      </w:tr>
      <w:tr w:rsidR="00EF2451" w14:paraId="4016F747" w14:textId="77777777" w:rsidTr="76652C09">
        <w:trPr>
          <w:trHeight w:val="57"/>
        </w:trPr>
        <w:tc>
          <w:tcPr>
            <w:cnfStyle w:val="001000000000" w:firstRow="0" w:lastRow="0" w:firstColumn="1" w:lastColumn="0" w:oddVBand="0" w:evenVBand="0" w:oddHBand="0" w:evenHBand="0" w:firstRowFirstColumn="0" w:firstRowLastColumn="0" w:lastRowFirstColumn="0" w:lastRowLastColumn="0"/>
            <w:tcW w:w="715" w:type="dxa"/>
          </w:tcPr>
          <w:p w14:paraId="6E437701" w14:textId="77777777" w:rsidR="00EF2451" w:rsidRPr="00CC0B11" w:rsidRDefault="00EF2451" w:rsidP="002B018E">
            <w:pPr>
              <w:spacing w:before="240" w:after="240"/>
              <w:rPr>
                <w:rFonts w:cstheme="minorHAnsi"/>
                <w:color w:val="1A2323" w:themeColor="text1"/>
                <w:sz w:val="20"/>
                <w:szCs w:val="20"/>
                <w:lang w:val="en-US"/>
              </w:rPr>
            </w:pPr>
            <w:r w:rsidRPr="00CC0B11">
              <w:rPr>
                <w:rFonts w:cstheme="minorHAnsi"/>
                <w:color w:val="1A2323" w:themeColor="text1"/>
                <w:sz w:val="20"/>
                <w:szCs w:val="20"/>
                <w:lang w:val="en-US"/>
              </w:rPr>
              <w:t>A1</w:t>
            </w:r>
            <w:r>
              <w:rPr>
                <w:rFonts w:cstheme="minorHAnsi"/>
                <w:color w:val="1A2323" w:themeColor="text1"/>
                <w:sz w:val="20"/>
                <w:szCs w:val="20"/>
                <w:lang w:val="en-US"/>
              </w:rPr>
              <w:t>0</w:t>
            </w:r>
          </w:p>
        </w:tc>
        <w:tc>
          <w:tcPr>
            <w:tcW w:w="1833" w:type="dxa"/>
          </w:tcPr>
          <w:p w14:paraId="2D394AA4" w14:textId="77777777" w:rsidR="00EF2451" w:rsidRPr="00CC0B11" w:rsidRDefault="00EF2451" w:rsidP="002B018E">
            <w:pPr>
              <w:pStyle w:val="BodyText"/>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CC0B11">
              <w:rPr>
                <w:rFonts w:cstheme="minorHAnsi"/>
                <w:sz w:val="20"/>
                <w:szCs w:val="20"/>
                <w:lang w:val="en-US"/>
              </w:rPr>
              <w:t>Numerical modelling of sediment transport dynamics</w:t>
            </w:r>
          </w:p>
        </w:tc>
        <w:tc>
          <w:tcPr>
            <w:tcW w:w="5997" w:type="dxa"/>
          </w:tcPr>
          <w:p w14:paraId="09F13100" w14:textId="77777777" w:rsidR="00EF2451" w:rsidRPr="00CC0B11" w:rsidRDefault="00EF2451" w:rsidP="002B018E">
            <w:pPr>
              <w:pStyle w:val="BodyText"/>
              <w:cnfStyle w:val="000000000000" w:firstRow="0" w:lastRow="0" w:firstColumn="0" w:lastColumn="0" w:oddVBand="0" w:evenVBand="0" w:oddHBand="0" w:evenHBand="0" w:firstRowFirstColumn="0" w:firstRowLastColumn="0" w:lastRowFirstColumn="0" w:lastRowLastColumn="0"/>
              <w:rPr>
                <w:rFonts w:cstheme="minorHAnsi"/>
                <w:strike/>
                <w:sz w:val="20"/>
                <w:szCs w:val="20"/>
                <w:u w:val="single"/>
              </w:rPr>
            </w:pPr>
            <w:r w:rsidRPr="00CC0B11">
              <w:rPr>
                <w:rFonts w:cstheme="minorHAnsi"/>
                <w:sz w:val="20"/>
                <w:szCs w:val="20"/>
                <w:lang w:val="en-US"/>
              </w:rPr>
              <w:t xml:space="preserve">Hydrodynamic and sediment transport models can be developed to assess erosion-sedimentation patterns and morphological changes on critical sites for navigation along the river from the targeted region using open-source software </w:t>
            </w:r>
            <w:proofErr w:type="gramStart"/>
            <w:r w:rsidRPr="00CC0B11">
              <w:rPr>
                <w:rFonts w:cstheme="minorHAnsi"/>
                <w:sz w:val="20"/>
                <w:szCs w:val="20"/>
                <w:lang w:val="en-US"/>
              </w:rPr>
              <w:t>package</w:t>
            </w:r>
            <w:proofErr w:type="gramEnd"/>
            <w:r w:rsidRPr="00CC0B11">
              <w:rPr>
                <w:rFonts w:cstheme="minorHAnsi"/>
                <w:sz w:val="20"/>
                <w:szCs w:val="20"/>
                <w:lang w:val="en-US"/>
              </w:rPr>
              <w:t xml:space="preserve"> such </w:t>
            </w:r>
            <w:proofErr w:type="gramStart"/>
            <w:r w:rsidRPr="00CC0B11">
              <w:rPr>
                <w:rFonts w:cstheme="minorHAnsi"/>
                <w:sz w:val="20"/>
                <w:szCs w:val="20"/>
                <w:lang w:val="en-US"/>
              </w:rPr>
              <w:t>us</w:t>
            </w:r>
            <w:proofErr w:type="gramEnd"/>
            <w:r w:rsidRPr="00CC0B11">
              <w:rPr>
                <w:rFonts w:cstheme="minorHAnsi"/>
                <w:sz w:val="20"/>
                <w:szCs w:val="20"/>
                <w:lang w:val="en-US"/>
              </w:rPr>
              <w:t xml:space="preserve"> open TELEMAC. The replication activity yields the development of a similar sediment transport model such as the ones developed within the project. These models should be applied to test the effectiveness of sediment management solutions.</w:t>
            </w:r>
          </w:p>
        </w:tc>
        <w:tc>
          <w:tcPr>
            <w:tcW w:w="1080" w:type="dxa"/>
          </w:tcPr>
          <w:p w14:paraId="04F1820E" w14:textId="77777777" w:rsidR="00EF2451" w:rsidRPr="00CC0B11" w:rsidRDefault="00EF2451" w:rsidP="002B018E">
            <w:pPr>
              <w:pStyle w:val="BodyText"/>
              <w:jc w:val="center"/>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CC0B11">
              <w:rPr>
                <w:rFonts w:cstheme="minorHAnsi"/>
                <w:sz w:val="20"/>
                <w:szCs w:val="20"/>
              </w:rPr>
              <w:t>All</w:t>
            </w:r>
          </w:p>
        </w:tc>
      </w:tr>
      <w:tr w:rsidR="00EF2451" w14:paraId="6FE17767" w14:textId="77777777" w:rsidTr="76652C09">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15" w:type="dxa"/>
          </w:tcPr>
          <w:p w14:paraId="4C192E5E" w14:textId="77777777" w:rsidR="00EF2451" w:rsidRPr="00CC0B11" w:rsidRDefault="00EF2451" w:rsidP="002B018E">
            <w:pPr>
              <w:spacing w:before="240" w:after="240"/>
              <w:rPr>
                <w:rFonts w:cstheme="minorHAnsi"/>
                <w:color w:val="1A2323" w:themeColor="text1"/>
                <w:sz w:val="20"/>
                <w:szCs w:val="20"/>
                <w:lang w:val="en-US"/>
              </w:rPr>
            </w:pPr>
            <w:r w:rsidRPr="00CC0B11">
              <w:rPr>
                <w:rFonts w:cstheme="minorHAnsi"/>
                <w:color w:val="1A2323" w:themeColor="text1"/>
                <w:sz w:val="20"/>
                <w:szCs w:val="20"/>
                <w:lang w:val="en-US"/>
              </w:rPr>
              <w:t>A1</w:t>
            </w:r>
            <w:r>
              <w:rPr>
                <w:rFonts w:cstheme="minorHAnsi"/>
                <w:color w:val="1A2323" w:themeColor="text1"/>
                <w:sz w:val="20"/>
                <w:szCs w:val="20"/>
                <w:lang w:val="en-US"/>
              </w:rPr>
              <w:t>1</w:t>
            </w:r>
          </w:p>
        </w:tc>
        <w:tc>
          <w:tcPr>
            <w:tcW w:w="1833" w:type="dxa"/>
          </w:tcPr>
          <w:p w14:paraId="7D14A23D" w14:textId="77777777" w:rsidR="00EF2451" w:rsidRPr="00CC0B11" w:rsidRDefault="00EF2451" w:rsidP="002B018E">
            <w:pPr>
              <w:pStyle w:val="BodyText"/>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CC0B11">
              <w:rPr>
                <w:rFonts w:cstheme="minorHAnsi"/>
                <w:sz w:val="20"/>
                <w:szCs w:val="20"/>
                <w:lang w:val="en-US"/>
              </w:rPr>
              <w:t>Development of normative frameworks for real-time data utilization in pollution management</w:t>
            </w:r>
          </w:p>
        </w:tc>
        <w:tc>
          <w:tcPr>
            <w:tcW w:w="5997" w:type="dxa"/>
          </w:tcPr>
          <w:p w14:paraId="1BA0F30D" w14:textId="77777777" w:rsidR="00EF2451" w:rsidRPr="00CC0B11" w:rsidRDefault="00EF2451" w:rsidP="002B018E">
            <w:pPr>
              <w:pStyle w:val="BodyText"/>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CC0B11">
              <w:rPr>
                <w:rFonts w:cstheme="minorHAnsi"/>
                <w:sz w:val="20"/>
                <w:szCs w:val="20"/>
                <w:lang w:val="en-US"/>
              </w:rPr>
              <w:t>Replication of the activity involves designing governance models and digital tools for data collection, sharing, and decision support with local and regional stakeholders and decision-makers. Standardization across regions enhances interoperability, ensuring that real-time data supports effective transboundary pollution management.</w:t>
            </w:r>
          </w:p>
        </w:tc>
        <w:tc>
          <w:tcPr>
            <w:tcW w:w="1080" w:type="dxa"/>
          </w:tcPr>
          <w:p w14:paraId="0898FAFD" w14:textId="77777777" w:rsidR="00EF2451" w:rsidRPr="00CC0B11" w:rsidRDefault="00EF2451" w:rsidP="002B018E">
            <w:pPr>
              <w:pStyle w:val="BodyText"/>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C0B11">
              <w:rPr>
                <w:rFonts w:cstheme="minorHAnsi"/>
                <w:sz w:val="20"/>
                <w:szCs w:val="20"/>
              </w:rPr>
              <w:t>All</w:t>
            </w:r>
          </w:p>
        </w:tc>
      </w:tr>
      <w:tr w:rsidR="00EF2451" w14:paraId="1D310EED" w14:textId="77777777" w:rsidTr="76652C09">
        <w:trPr>
          <w:trHeight w:val="57"/>
        </w:trPr>
        <w:tc>
          <w:tcPr>
            <w:cnfStyle w:val="001000000000" w:firstRow="0" w:lastRow="0" w:firstColumn="1" w:lastColumn="0" w:oddVBand="0" w:evenVBand="0" w:oddHBand="0" w:evenHBand="0" w:firstRowFirstColumn="0" w:firstRowLastColumn="0" w:lastRowFirstColumn="0" w:lastRowLastColumn="0"/>
            <w:tcW w:w="715" w:type="dxa"/>
          </w:tcPr>
          <w:p w14:paraId="37AE8CCD" w14:textId="77777777" w:rsidR="00EF2451" w:rsidRPr="00CC0B11" w:rsidRDefault="00EF2451" w:rsidP="002B018E">
            <w:pPr>
              <w:spacing w:before="240" w:after="240"/>
              <w:rPr>
                <w:rFonts w:cstheme="minorHAnsi"/>
                <w:color w:val="1A2323" w:themeColor="text1"/>
                <w:sz w:val="20"/>
                <w:szCs w:val="20"/>
              </w:rPr>
            </w:pPr>
            <w:r w:rsidRPr="00CC0B11">
              <w:rPr>
                <w:rFonts w:cstheme="minorHAnsi"/>
                <w:color w:val="1A2323" w:themeColor="text1"/>
                <w:sz w:val="20"/>
                <w:szCs w:val="20"/>
              </w:rPr>
              <w:t>A1</w:t>
            </w:r>
            <w:r>
              <w:rPr>
                <w:rFonts w:cstheme="minorHAnsi"/>
                <w:color w:val="1A2323" w:themeColor="text1"/>
                <w:sz w:val="20"/>
                <w:szCs w:val="20"/>
              </w:rPr>
              <w:t>2</w:t>
            </w:r>
          </w:p>
        </w:tc>
        <w:tc>
          <w:tcPr>
            <w:tcW w:w="1833" w:type="dxa"/>
          </w:tcPr>
          <w:p w14:paraId="3E5C5AFB" w14:textId="77777777" w:rsidR="00EF2451" w:rsidRPr="00CC0B11" w:rsidRDefault="00EF2451" w:rsidP="002B018E">
            <w:pPr>
              <w:pStyle w:val="BodyText"/>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CC0B11">
              <w:rPr>
                <w:rFonts w:cstheme="minorHAnsi"/>
                <w:sz w:val="20"/>
                <w:szCs w:val="20"/>
                <w:lang w:val="en-US"/>
              </w:rPr>
              <w:t>Assessment of inland waterway transport impact on sediment dynamics</w:t>
            </w:r>
          </w:p>
        </w:tc>
        <w:tc>
          <w:tcPr>
            <w:tcW w:w="5997" w:type="dxa"/>
          </w:tcPr>
          <w:p w14:paraId="781B2619" w14:textId="77777777" w:rsidR="00EF2451" w:rsidRPr="00CC0B11" w:rsidRDefault="00EF2451" w:rsidP="002B018E">
            <w:pPr>
              <w:pStyle w:val="BodyText"/>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CC0B11">
              <w:rPr>
                <w:rFonts w:cstheme="minorHAnsi"/>
                <w:sz w:val="20"/>
                <w:szCs w:val="20"/>
                <w:lang w:val="en-US"/>
              </w:rPr>
              <w:t>Hydro morphological surveys and AIS traffic data integration are replicable methodologies that can be used for targeted regions. This will highlight trade-offs between navigation, ecology, and sediment management.</w:t>
            </w:r>
          </w:p>
        </w:tc>
        <w:tc>
          <w:tcPr>
            <w:tcW w:w="1080" w:type="dxa"/>
          </w:tcPr>
          <w:p w14:paraId="449181E5" w14:textId="77777777" w:rsidR="00EF2451" w:rsidRPr="00CC0B11" w:rsidRDefault="00EF2451" w:rsidP="002B018E">
            <w:pPr>
              <w:pStyle w:val="BodyText"/>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C0B11">
              <w:rPr>
                <w:rFonts w:cstheme="minorHAnsi"/>
                <w:sz w:val="20"/>
                <w:szCs w:val="20"/>
              </w:rPr>
              <w:t>Romania</w:t>
            </w:r>
          </w:p>
        </w:tc>
      </w:tr>
    </w:tbl>
    <w:p w14:paraId="7E1660AD" w14:textId="77777777" w:rsidR="00EF2451" w:rsidRPr="00460892" w:rsidRDefault="00EF2451" w:rsidP="00EF2451">
      <w:pPr>
        <w:pStyle w:val="BodyText"/>
        <w:rPr>
          <w:b/>
          <w:color w:val="F3AF1C" w:themeColor="accent4"/>
          <w:sz w:val="20"/>
          <w:szCs w:val="20"/>
          <w:lang w:val="en-US"/>
        </w:rPr>
      </w:pPr>
    </w:p>
    <w:p w14:paraId="1DAFEA27" w14:textId="77777777" w:rsidR="00DD140D" w:rsidRDefault="00DD140D">
      <w:pPr>
        <w:jc w:val="both"/>
      </w:pPr>
    </w:p>
    <w:sectPr w:rsidR="00DD140D">
      <w:headerReference w:type="even" r:id="rId13"/>
      <w:headerReference w:type="default" r:id="rId14"/>
      <w:footerReference w:type="even" r:id="rId15"/>
      <w:footerReference w:type="default" r:id="rId16"/>
      <w:headerReference w:type="first" r:id="rId17"/>
      <w:footerReference w:type="first" r:id="rId18"/>
      <w:pgSz w:w="11900" w:h="16840"/>
      <w:pgMar w:top="2410" w:right="1247" w:bottom="1134" w:left="129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7940D" w14:textId="77777777" w:rsidR="00B63E1D" w:rsidRDefault="00B63E1D">
      <w:r>
        <w:separator/>
      </w:r>
    </w:p>
  </w:endnote>
  <w:endnote w:type="continuationSeparator" w:id="0">
    <w:p w14:paraId="2F23251F" w14:textId="77777777" w:rsidR="00B63E1D" w:rsidRDefault="00B63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embedRegular r:id="rId1" w:fontKey="{95A685D2-2B8E-4B71-9227-4C5AF707C052}"/>
  </w:font>
  <w:font w:name="Open Sans SemiBold">
    <w:charset w:val="00"/>
    <w:family w:val="swiss"/>
    <w:pitch w:val="variable"/>
    <w:sig w:usb0="E00002EF" w:usb1="4000205B" w:usb2="00000028" w:usb3="00000000" w:csb0="0000019F" w:csb1="00000000"/>
    <w:embedRegular r:id="rId2" w:fontKey="{5512D282-E0A5-4390-8756-123EE37EB031}"/>
    <w:embedBold r:id="rId3" w:fontKey="{CAD041F2-CD18-46D2-9C25-264810EBD90D}"/>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embedRegular r:id="rId4" w:fontKey="{14403E17-0CF0-4246-8917-3B190ABC6FE2}"/>
    <w:embedBold r:id="rId5" w:fontKey="{71944652-9E10-46D4-98F4-AF14AD7F3A86}"/>
  </w:font>
  <w:font w:name="Montserrat">
    <w:charset w:val="00"/>
    <w:family w:val="auto"/>
    <w:pitch w:val="variable"/>
    <w:sig w:usb0="2000020F" w:usb1="00000003" w:usb2="00000000" w:usb3="00000000" w:csb0="00000197" w:csb1="00000000"/>
    <w:embedRegular r:id="rId6" w:fontKey="{E9024F4C-5E67-4395-8D2A-D118596236E1}"/>
    <w:embedItalic r:id="rId7" w:fontKey="{D319DF20-A32F-4AD9-941D-559971832614}"/>
  </w:font>
  <w:font w:name="Mundial Thin">
    <w:charset w:val="00"/>
    <w:family w:val="auto"/>
    <w:pitch w:val="default"/>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8" w:fontKey="{BBC70291-9F44-4742-B52F-A362EAC0C3FD}"/>
  </w:font>
  <w:font w:name="Arial Nova">
    <w:charset w:val="00"/>
    <w:family w:val="swiss"/>
    <w:pitch w:val="variable"/>
    <w:sig w:usb0="0000028F" w:usb1="00000002" w:usb2="00000000" w:usb3="00000000" w:csb0="0000019F" w:csb1="00000000"/>
    <w:embedRegular r:id="rId9" w:fontKey="{5F4D38F7-1701-4CCA-882C-E6032D854D14}"/>
    <w:embedBold r:id="rId10" w:fontKey="{FC37EA08-757A-4F23-9946-D41718FDBB64}"/>
  </w:font>
  <w:font w:name="MS Mincho">
    <w:panose1 w:val="02020609040205080304"/>
    <w:charset w:val="80"/>
    <w:family w:val="modern"/>
    <w:pitch w:val="fixed"/>
    <w:sig w:usb0="E00002FF" w:usb1="6AC7FDFB" w:usb2="08000012" w:usb3="00000000" w:csb0="0002009F" w:csb1="00000000"/>
  </w:font>
  <w:font w:name="Open Sans ExtraBold">
    <w:charset w:val="00"/>
    <w:family w:val="swiss"/>
    <w:pitch w:val="variable"/>
    <w:sig w:usb0="E00002EF" w:usb1="4000205B" w:usb2="00000028" w:usb3="00000000" w:csb0="0000019F" w:csb1="00000000"/>
    <w:embedRegular r:id="rId11" w:fontKey="{26221AEE-EAF6-4A94-A6B8-D7642A8B44C2}"/>
  </w:font>
  <w:font w:name="Georgia">
    <w:panose1 w:val="02040502050405020303"/>
    <w:charset w:val="00"/>
    <w:family w:val="roman"/>
    <w:pitch w:val="variable"/>
    <w:sig w:usb0="00000287" w:usb1="00000000" w:usb2="00000000" w:usb3="00000000" w:csb0="0000009F" w:csb1="00000000"/>
    <w:embedItalic r:id="rId12" w:fontKey="{9D004863-5D7C-4E90-87D6-2E95A0C00A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8934" w14:textId="77777777" w:rsidR="00DD140D" w:rsidRDefault="00A00DF6">
    <w:pPr>
      <w:pBdr>
        <w:top w:val="nil"/>
        <w:left w:val="nil"/>
        <w:bottom w:val="nil"/>
        <w:right w:val="nil"/>
        <w:between w:val="nil"/>
      </w:pBdr>
      <w:tabs>
        <w:tab w:val="center" w:pos="4680"/>
        <w:tab w:val="right" w:pos="9360"/>
      </w:tabs>
      <w:rPr>
        <w:rFonts w:ascii="Arial" w:hAnsi="Arial"/>
        <w:color w:val="BBC7C4"/>
        <w:sz w:val="16"/>
        <w:szCs w:val="16"/>
      </w:rPr>
    </w:pPr>
    <w:r>
      <w:rPr>
        <w:rFonts w:ascii="Arial" w:hAnsi="Arial"/>
        <w:color w:val="BBC7C4"/>
        <w:sz w:val="16"/>
        <w:szCs w:val="16"/>
      </w:rPr>
      <w:fldChar w:fldCharType="begin"/>
    </w:r>
    <w:r>
      <w:rPr>
        <w:rFonts w:ascii="Arial" w:hAnsi="Arial"/>
        <w:color w:val="BBC7C4"/>
        <w:sz w:val="16"/>
        <w:szCs w:val="16"/>
      </w:rPr>
      <w:instrText>PAGE</w:instrText>
    </w:r>
    <w:r>
      <w:rPr>
        <w:rFonts w:ascii="Arial" w:hAnsi="Arial"/>
        <w:color w:val="BBC7C4"/>
        <w:sz w:val="16"/>
        <w:szCs w:val="16"/>
      </w:rPr>
      <w:fldChar w:fldCharType="separate"/>
    </w:r>
    <w:r>
      <w:rPr>
        <w:rFonts w:ascii="Arial" w:hAnsi="Arial"/>
        <w:color w:val="BBC7C4"/>
        <w:sz w:val="16"/>
        <w:szCs w:val="16"/>
      </w:rPr>
      <w:fldChar w:fldCharType="end"/>
    </w:r>
  </w:p>
  <w:p w14:paraId="458C6589" w14:textId="77777777" w:rsidR="00DD140D" w:rsidRDefault="00DD140D">
    <w:pPr>
      <w:pBdr>
        <w:top w:val="nil"/>
        <w:left w:val="nil"/>
        <w:bottom w:val="nil"/>
        <w:right w:val="nil"/>
        <w:between w:val="nil"/>
      </w:pBdr>
      <w:tabs>
        <w:tab w:val="center" w:pos="4680"/>
        <w:tab w:val="right" w:pos="9360"/>
      </w:tabs>
      <w:rPr>
        <w:rFonts w:ascii="Arial" w:hAnsi="Arial"/>
      </w:rPr>
    </w:pPr>
  </w:p>
  <w:p w14:paraId="362003D9" w14:textId="77777777" w:rsidR="00DD140D" w:rsidRDefault="00DD140D"/>
  <w:p w14:paraId="054075D3" w14:textId="77777777" w:rsidR="00DD140D" w:rsidRDefault="00DD14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C0B5" w14:textId="77777777" w:rsidR="00DD140D" w:rsidRDefault="00A00DF6">
    <w:pPr>
      <w:pBdr>
        <w:top w:val="nil"/>
        <w:left w:val="nil"/>
        <w:bottom w:val="nil"/>
        <w:right w:val="nil"/>
        <w:between w:val="nil"/>
      </w:pBdr>
      <w:tabs>
        <w:tab w:val="center" w:pos="4680"/>
        <w:tab w:val="right" w:pos="9360"/>
      </w:tabs>
      <w:ind w:left="-1298"/>
      <w:jc w:val="right"/>
      <w:rPr>
        <w:rFonts w:ascii="Open Sans" w:eastAsia="Open Sans" w:hAnsi="Open Sans" w:cs="Open Sans"/>
        <w:color w:val="BBC7C4"/>
        <w:sz w:val="16"/>
        <w:szCs w:val="16"/>
        <w:shd w:val="clear" w:color="auto" w:fill="B1DEDF"/>
      </w:rPr>
    </w:pPr>
    <w:r>
      <w:rPr>
        <w:noProof/>
      </w:rPr>
      <mc:AlternateContent>
        <mc:Choice Requires="wpg">
          <w:drawing>
            <wp:anchor distT="0" distB="0" distL="114300" distR="114300" simplePos="0" relativeHeight="251661312" behindDoc="0" locked="0" layoutInCell="1" hidden="0" allowOverlap="1" wp14:anchorId="46ED6F8D" wp14:editId="1DDD4526">
              <wp:simplePos x="0" y="0"/>
              <wp:positionH relativeFrom="column">
                <wp:posOffset>-152399</wp:posOffset>
              </wp:positionH>
              <wp:positionV relativeFrom="paragraph">
                <wp:posOffset>-634999</wp:posOffset>
              </wp:positionV>
              <wp:extent cx="6888521" cy="1621790"/>
              <wp:effectExtent l="0" t="0" r="0" b="0"/>
              <wp:wrapNone/>
              <wp:docPr id="1969219460" name="Group 1969219460"/>
              <wp:cNvGraphicFramePr/>
              <a:graphic xmlns:a="http://schemas.openxmlformats.org/drawingml/2006/main">
                <a:graphicData uri="http://schemas.microsoft.com/office/word/2010/wordprocessingGroup">
                  <wpg:wgp>
                    <wpg:cNvGrpSpPr/>
                    <wpg:grpSpPr>
                      <a:xfrm>
                        <a:off x="0" y="0"/>
                        <a:ext cx="6888521" cy="1621790"/>
                        <a:chOff x="1901725" y="2969100"/>
                        <a:chExt cx="6888550" cy="1621800"/>
                      </a:xfrm>
                    </wpg:grpSpPr>
                    <wpg:grpSp>
                      <wpg:cNvPr id="859489728" name="Group 859489728"/>
                      <wpg:cNvGrpSpPr/>
                      <wpg:grpSpPr>
                        <a:xfrm>
                          <a:off x="1901740" y="2969105"/>
                          <a:ext cx="6888521" cy="1621790"/>
                          <a:chOff x="0" y="0"/>
                          <a:chExt cx="6888525" cy="1621790"/>
                        </a:xfrm>
                      </wpg:grpSpPr>
                      <wps:wsp>
                        <wps:cNvPr id="2113208115" name="Rectangle 2113208115"/>
                        <wps:cNvSpPr/>
                        <wps:spPr>
                          <a:xfrm>
                            <a:off x="0" y="0"/>
                            <a:ext cx="6888525" cy="1621775"/>
                          </a:xfrm>
                          <a:prstGeom prst="rect">
                            <a:avLst/>
                          </a:prstGeom>
                          <a:noFill/>
                          <a:ln>
                            <a:noFill/>
                          </a:ln>
                        </wps:spPr>
                        <wps:txbx>
                          <w:txbxContent>
                            <w:p w14:paraId="397F9367" w14:textId="77777777" w:rsidR="00DD140D" w:rsidRDefault="00DD140D">
                              <w:pPr>
                                <w:textDirection w:val="btLr"/>
                              </w:pPr>
                            </w:p>
                          </w:txbxContent>
                        </wps:txbx>
                        <wps:bodyPr spcFirstLastPara="1" wrap="square" lIns="91425" tIns="91425" rIns="91425" bIns="91425" anchor="ctr" anchorCtr="0">
                          <a:noAutofit/>
                        </wps:bodyPr>
                      </wps:wsp>
                      <wps:wsp>
                        <wps:cNvPr id="1503462151" name="Rectangle 1503462151"/>
                        <wps:cNvSpPr/>
                        <wps:spPr>
                          <a:xfrm>
                            <a:off x="0" y="0"/>
                            <a:ext cx="6888525" cy="882650"/>
                          </a:xfrm>
                          <a:prstGeom prst="rect">
                            <a:avLst/>
                          </a:prstGeom>
                          <a:noFill/>
                          <a:ln>
                            <a:noFill/>
                          </a:ln>
                        </wps:spPr>
                        <wps:txbx>
                          <w:txbxContent>
                            <w:p w14:paraId="2A0418B8" w14:textId="77777777" w:rsidR="00DD140D" w:rsidRDefault="00DD140D">
                              <w:pPr>
                                <w:textDirection w:val="btLr"/>
                              </w:pPr>
                            </w:p>
                          </w:txbxContent>
                        </wps:txbx>
                        <wps:bodyPr spcFirstLastPara="1" wrap="square" lIns="91425" tIns="91425" rIns="91425" bIns="91425" anchor="ctr" anchorCtr="0">
                          <a:noAutofit/>
                        </wps:bodyPr>
                      </wps:wsp>
                      <wps:wsp>
                        <wps:cNvPr id="1577946711" name="Rectangle 1577946711"/>
                        <wps:cNvSpPr/>
                        <wps:spPr>
                          <a:xfrm>
                            <a:off x="1804327" y="999052"/>
                            <a:ext cx="3408699" cy="622738"/>
                          </a:xfrm>
                          <a:prstGeom prst="rect">
                            <a:avLst/>
                          </a:prstGeom>
                          <a:solidFill>
                            <a:schemeClr val="lt1"/>
                          </a:solidFill>
                          <a:ln>
                            <a:noFill/>
                          </a:ln>
                        </wps:spPr>
                        <wps:txbx>
                          <w:txbxContent>
                            <w:p w14:paraId="5F77912A" w14:textId="77777777" w:rsidR="00DD140D" w:rsidRDefault="00A00DF6">
                              <w:pPr>
                                <w:jc w:val="both"/>
                                <w:textDirection w:val="btLr"/>
                              </w:pPr>
                              <w:r>
                                <w:rPr>
                                  <w:rFonts w:ascii="Arial" w:hAnsi="Arial"/>
                                  <w:sz w:val="13"/>
                                </w:rPr>
                                <w:t>Funded by the European Union. Views and opinions expressed are however those of the author(s) only and do not necessarily reflect those of the European Union or European Climate, Infrastructure and Environment Executive Agency (CINEA). Neither the European Union nor the granting authority can be held responsible for them.</w:t>
                              </w:r>
                            </w:p>
                          </w:txbxContent>
                        </wps:txbx>
                        <wps:bodyPr spcFirstLastPara="1" wrap="square" lIns="91425" tIns="45700" rIns="91425" bIns="45700" anchor="t" anchorCtr="0">
                          <a:noAutofit/>
                        </wps:bodyPr>
                      </wps:wsp>
                    </wpg:grpSp>
                  </wpg:wgp>
                </a:graphicData>
              </a:graphic>
            </wp:anchor>
          </w:drawing>
        </mc:Choice>
        <mc:Fallback>
          <w:pict>
            <v:group w14:anchorId="46ED6F8D" id="Group 1969219460" o:spid="_x0000_s1027" style="position:absolute;left:0;text-align:left;margin-left:-12pt;margin-top:-50pt;width:542.4pt;height:127.7pt;z-index:251661312" coordorigin="19017,29691" coordsize="68885,1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">
              <v:group id="Group 859489728" o:spid="_x0000_s1028" style="position:absolute;left:19017;top:29691;width:68885;height:16217" coordsize="68885,1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">
                <v:rect id="Rectangle 2113208115" o:spid="_x0000_s1029" style="position:absolute;width:68885;height:16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" filled="f" stroked="f">
                  <v:textbox inset="2.53958mm,2.53958mm,2.53958mm,2.53958mm">
                    <w:txbxContent>
                      <w:p w14:paraId="397F9367" w14:textId="77777777" w:rsidR="00DD140D" w:rsidRDefault="00DD140D">
                        <w:pPr>
                          <w:textDirection w:val="btLr"/>
                        </w:pPr>
                      </w:p>
                    </w:txbxContent>
                  </v:textbox>
                </v:rect>
                <v:rect id="Rectangle 1503462151" o:spid="_x0000_s1030" style="position:absolute;width:68885;height:8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" filled="f" stroked="f">
                  <v:textbox inset="2.53958mm,2.53958mm,2.53958mm,2.53958mm">
                    <w:txbxContent>
                      <w:p w14:paraId="2A0418B8" w14:textId="77777777" w:rsidR="00DD140D" w:rsidRDefault="00DD140D">
                        <w:pPr>
                          <w:textDirection w:val="btLr"/>
                        </w:pPr>
                      </w:p>
                    </w:txbxContent>
                  </v:textbox>
                </v:rect>
                <v:rect id="Rectangle 1577946711" o:spid="_x0000_s1031" style="position:absolute;left:18043;top:9990;width:34087;height:6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" fillcolor="white [3201]" stroked="f">
                  <v:textbox inset="2.53958mm,1.2694mm,2.53958mm,1.2694mm">
                    <w:txbxContent>
                      <w:p w14:paraId="5F77912A" w14:textId="77777777" w:rsidR="00DD140D" w:rsidRDefault="00A00DF6">
                        <w:pPr>
                          <w:jc w:val="both"/>
                          <w:textDirection w:val="btLr"/>
                        </w:pPr>
                        <w:r>
                          <w:rPr>
                            <w:rFonts w:ascii="Arial" w:hAnsi="Arial"/>
                            <w:sz w:val="13"/>
                          </w:rPr>
                          <w:t>Funded by the European Union. Views and opinions expressed are however those of the author(s) only and do not necessarily reflect those of the European Union or European Climate, Infrastructure and Environment Executive Agency (CINEA). Neither the European Union nor the granting authority can be held responsible for them.</w:t>
                        </w:r>
                      </w:p>
                    </w:txbxContent>
                  </v:textbox>
                </v:rect>
              </v:group>
            </v:group>
          </w:pict>
        </mc:Fallback>
      </mc:AlternateContent>
    </w:r>
  </w:p>
  <w:p w14:paraId="5FBA885D" w14:textId="77777777" w:rsidR="00DD140D" w:rsidRDefault="00A00DF6">
    <w:pPr>
      <w:pBdr>
        <w:top w:val="nil"/>
        <w:left w:val="nil"/>
        <w:bottom w:val="nil"/>
        <w:right w:val="nil"/>
        <w:between w:val="nil"/>
      </w:pBdr>
      <w:tabs>
        <w:tab w:val="center" w:pos="4680"/>
        <w:tab w:val="right" w:pos="9360"/>
      </w:tabs>
      <w:ind w:left="-1298"/>
      <w:rPr>
        <w:rFonts w:ascii="Arial" w:hAnsi="Arial"/>
      </w:rPr>
    </w:pPr>
    <w:r>
      <w:rPr>
        <w:noProof/>
        <w:color w:val="1A2323"/>
      </w:rPr>
      <w:drawing>
        <wp:inline distT="0" distB="0" distL="0" distR="0" wp14:anchorId="4CB27CE0" wp14:editId="766D6E72">
          <wp:extent cx="7690596" cy="904292"/>
          <wp:effectExtent l="0" t="0" r="0" b="0"/>
          <wp:docPr id="196921946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690596" cy="904292"/>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425D" w14:textId="77777777" w:rsidR="00DD140D" w:rsidRDefault="00A00DF6">
    <w:pPr>
      <w:pBdr>
        <w:top w:val="nil"/>
        <w:left w:val="nil"/>
        <w:bottom w:val="nil"/>
        <w:right w:val="nil"/>
        <w:between w:val="nil"/>
      </w:pBdr>
      <w:tabs>
        <w:tab w:val="center" w:pos="4680"/>
        <w:tab w:val="right" w:pos="9360"/>
      </w:tabs>
      <w:rPr>
        <w:rFonts w:ascii="Arial" w:hAnsi="Arial"/>
      </w:rPr>
    </w:pPr>
    <w:r>
      <w:rPr>
        <w:noProof/>
      </w:rPr>
      <w:drawing>
        <wp:anchor distT="0" distB="0" distL="0" distR="0" simplePos="0" relativeHeight="251662336" behindDoc="1" locked="0" layoutInCell="1" hidden="0" allowOverlap="1" wp14:anchorId="4F317325" wp14:editId="371B41DC">
          <wp:simplePos x="0" y="0"/>
          <wp:positionH relativeFrom="column">
            <wp:posOffset>-354328</wp:posOffset>
          </wp:positionH>
          <wp:positionV relativeFrom="paragraph">
            <wp:posOffset>-535776</wp:posOffset>
          </wp:positionV>
          <wp:extent cx="1623695" cy="341630"/>
          <wp:effectExtent l="0" t="0" r="0" b="0"/>
          <wp:wrapNone/>
          <wp:docPr id="1969219465" name="image3.png" descr="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Blue text on a black background&#10;&#10;Description automatically generated"/>
                  <pic:cNvPicPr preferRelativeResize="0"/>
                </pic:nvPicPr>
                <pic:blipFill>
                  <a:blip r:embed="rId1"/>
                  <a:srcRect/>
                  <a:stretch>
                    <a:fillRect/>
                  </a:stretch>
                </pic:blipFill>
                <pic:spPr>
                  <a:xfrm>
                    <a:off x="0" y="0"/>
                    <a:ext cx="1623695" cy="341630"/>
                  </a:xfrm>
                  <a:prstGeom prst="rect">
                    <a:avLst/>
                  </a:prstGeom>
                  <a:ln/>
                </pic:spPr>
              </pic:pic>
            </a:graphicData>
          </a:graphic>
        </wp:anchor>
      </w:drawing>
    </w:r>
    <w:r>
      <w:rPr>
        <w:noProof/>
      </w:rPr>
      <mc:AlternateContent>
        <mc:Choice Requires="wps">
          <w:drawing>
            <wp:anchor distT="45720" distB="45720" distL="114300" distR="114300" simplePos="0" relativeHeight="251663360" behindDoc="0" locked="0" layoutInCell="1" hidden="0" allowOverlap="1" wp14:anchorId="2BBA7295" wp14:editId="2ACA99EB">
              <wp:simplePos x="0" y="0"/>
              <wp:positionH relativeFrom="column">
                <wp:posOffset>1435100</wp:posOffset>
              </wp:positionH>
              <wp:positionV relativeFrom="paragraph">
                <wp:posOffset>-589279</wp:posOffset>
              </wp:positionV>
              <wp:extent cx="4924425" cy="453390"/>
              <wp:effectExtent l="0" t="0" r="0" b="0"/>
              <wp:wrapSquare wrapText="bothSides" distT="45720" distB="45720" distL="114300" distR="114300"/>
              <wp:docPr id="1969219459" name="Rectangle 1969219459"/>
              <wp:cNvGraphicFramePr/>
              <a:graphic xmlns:a="http://schemas.openxmlformats.org/drawingml/2006/main">
                <a:graphicData uri="http://schemas.microsoft.com/office/word/2010/wordprocessingShape">
                  <wps:wsp>
                    <wps:cNvSpPr/>
                    <wps:spPr>
                      <a:xfrm>
                        <a:off x="2893313" y="3562830"/>
                        <a:ext cx="4905375" cy="434340"/>
                      </a:xfrm>
                      <a:prstGeom prst="rect">
                        <a:avLst/>
                      </a:prstGeom>
                      <a:solidFill>
                        <a:srgbClr val="FFFFFF"/>
                      </a:solidFill>
                      <a:ln>
                        <a:noFill/>
                      </a:ln>
                    </wps:spPr>
                    <wps:txbx>
                      <w:txbxContent>
                        <w:p w14:paraId="350BBCC0" w14:textId="77777777" w:rsidR="00DD140D" w:rsidRDefault="00A00DF6">
                          <w:pPr>
                            <w:textDirection w:val="btLr"/>
                          </w:pPr>
                          <w:r>
                            <w:rPr>
                              <w:rFonts w:ascii="Arial" w:hAnsi="Arial"/>
                              <w:color w:val="131A1A"/>
                              <w:sz w:val="15"/>
                            </w:rPr>
                            <w:t xml:space="preserve">Funded by the European Union. Views and opinions expressed are however those of the author(s) </w:t>
                          </w:r>
                          <w:r>
                            <w:rPr>
                              <w:rFonts w:ascii="Arial" w:hAnsi="Arial"/>
                              <w:color w:val="131A1A"/>
                              <w:sz w:val="15"/>
                            </w:rPr>
                            <w:br/>
                            <w:t xml:space="preserve">only and do not necessarily reflect those of the European Union or European Commission. </w:t>
                          </w:r>
                          <w:r>
                            <w:rPr>
                              <w:rFonts w:ascii="Arial" w:hAnsi="Arial"/>
                              <w:color w:val="131A1A"/>
                              <w:sz w:val="15"/>
                            </w:rPr>
                            <w:br/>
                            <w:t>Neither the European Union nor the granting authority can be held responsible for them.</w:t>
                          </w:r>
                        </w:p>
                      </w:txbxContent>
                    </wps:txbx>
                    <wps:bodyPr spcFirstLastPara="1" wrap="square" lIns="91425" tIns="45700" rIns="91425" bIns="45700" anchor="t" anchorCtr="0">
                      <a:noAutofit/>
                    </wps:bodyPr>
                  </wps:wsp>
                </a:graphicData>
              </a:graphic>
            </wp:anchor>
          </w:drawing>
        </mc:Choice>
        <mc:Fallback>
          <w:pict>
            <v:rect w14:anchorId="2BBA7295" id="Rectangle 1969219459" o:spid="_x0000_s1032" style="position:absolute;margin-left:113pt;margin-top:-46.4pt;width:387.75pt;height:35.7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" stroked="f">
              <v:textbox inset="2.53958mm,1.2694mm,2.53958mm,1.2694mm">
                <w:txbxContent>
                  <w:p w14:paraId="350BBCC0" w14:textId="77777777" w:rsidR="00DD140D" w:rsidRDefault="00A00DF6">
                    <w:pPr>
                      <w:textDirection w:val="btLr"/>
                    </w:pPr>
                    <w:r>
                      <w:rPr>
                        <w:rFonts w:ascii="Arial" w:hAnsi="Arial"/>
                        <w:color w:val="131A1A"/>
                        <w:sz w:val="15"/>
                      </w:rPr>
                      <w:t xml:space="preserve">Funded by the European Union. Views and opinions expressed are however those of the author(s) </w:t>
                    </w:r>
                    <w:r>
                      <w:rPr>
                        <w:rFonts w:ascii="Arial" w:hAnsi="Arial"/>
                        <w:color w:val="131A1A"/>
                        <w:sz w:val="15"/>
                      </w:rPr>
                      <w:br/>
                      <w:t xml:space="preserve">only and do not necessarily reflect those of the European Union or European Commission. </w:t>
                    </w:r>
                    <w:r>
                      <w:rPr>
                        <w:rFonts w:ascii="Arial" w:hAnsi="Arial"/>
                        <w:color w:val="131A1A"/>
                        <w:sz w:val="15"/>
                      </w:rPr>
                      <w:br/>
                      <w:t>Neither the European Union nor the granting authority can be held responsible for them.</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D67AB" w14:textId="77777777" w:rsidR="00B63E1D" w:rsidRDefault="00B63E1D">
      <w:r>
        <w:separator/>
      </w:r>
    </w:p>
  </w:footnote>
  <w:footnote w:type="continuationSeparator" w:id="0">
    <w:p w14:paraId="3AD6F4E7" w14:textId="77777777" w:rsidR="00B63E1D" w:rsidRDefault="00B63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9F4E0" w14:textId="77777777" w:rsidR="00DD140D" w:rsidRDefault="00DD140D">
    <w:pPr>
      <w:pBdr>
        <w:top w:val="nil"/>
        <w:left w:val="nil"/>
        <w:bottom w:val="nil"/>
        <w:right w:val="nil"/>
        <w:between w:val="nil"/>
      </w:pBdr>
      <w:tabs>
        <w:tab w:val="center" w:pos="4680"/>
        <w:tab w:val="right" w:pos="9360"/>
      </w:tabs>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87E1" w14:textId="77777777" w:rsidR="00DD140D" w:rsidRDefault="00DD140D">
    <w:pPr>
      <w:pBdr>
        <w:top w:val="nil"/>
        <w:left w:val="nil"/>
        <w:bottom w:val="nil"/>
        <w:right w:val="nil"/>
        <w:between w:val="nil"/>
      </w:pBdr>
      <w:tabs>
        <w:tab w:val="center" w:pos="4680"/>
        <w:tab w:val="right" w:pos="9360"/>
      </w:tabs>
      <w:rPr>
        <w:rFonts w:ascii="Arial" w:hAnsi="Arial"/>
      </w:rPr>
    </w:pPr>
  </w:p>
  <w:p w14:paraId="6D78B96C" w14:textId="77777777" w:rsidR="00DD140D" w:rsidRDefault="00DD140D"/>
  <w:p w14:paraId="4B6E59A6" w14:textId="77777777" w:rsidR="00DD140D" w:rsidRDefault="00A00DF6">
    <w:r>
      <w:rPr>
        <w:noProof/>
      </w:rPr>
      <w:drawing>
        <wp:anchor distT="0" distB="0" distL="114300" distR="114300" simplePos="0" relativeHeight="251658240" behindDoc="0" locked="0" layoutInCell="1" hidden="0" allowOverlap="1" wp14:anchorId="544C8465" wp14:editId="167FFBD9">
          <wp:simplePos x="0" y="0"/>
          <wp:positionH relativeFrom="column">
            <wp:posOffset>3923160</wp:posOffset>
          </wp:positionH>
          <wp:positionV relativeFrom="paragraph">
            <wp:posOffset>271691</wp:posOffset>
          </wp:positionV>
          <wp:extent cx="2180600" cy="455209"/>
          <wp:effectExtent l="0" t="0" r="0" b="0"/>
          <wp:wrapNone/>
          <wp:docPr id="19692194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80600" cy="455209"/>
                  </a:xfrm>
                  <a:prstGeom prst="rect">
                    <a:avLst/>
                  </a:prstGeom>
                  <a:ln/>
                </pic:spPr>
              </pic:pic>
            </a:graphicData>
          </a:graphic>
        </wp:anchor>
      </w:drawing>
    </w:r>
  </w:p>
  <w:p w14:paraId="6372010E" w14:textId="77777777" w:rsidR="00DD140D" w:rsidRDefault="00DD140D">
    <w:pPr>
      <w:spacing w:line="276" w:lineRule="auto"/>
    </w:pPr>
  </w:p>
  <w:p w14:paraId="279F686E" w14:textId="77777777" w:rsidR="00DD140D" w:rsidRDefault="00A00DF6">
    <w:pPr>
      <w:spacing w:line="276" w:lineRule="auto"/>
    </w:pPr>
    <w:r>
      <w:fldChar w:fldCharType="begin"/>
    </w:r>
    <w:r>
      <w:instrText>PAGE</w:instrText>
    </w:r>
    <w:r>
      <w:fldChar w:fldCharType="separate"/>
    </w:r>
    <w:r w:rsidR="0077090B">
      <w:rPr>
        <w:noProof/>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BB0D" w14:textId="77777777" w:rsidR="00DD140D" w:rsidRDefault="00A00DF6">
    <w:pPr>
      <w:pBdr>
        <w:top w:val="nil"/>
        <w:left w:val="nil"/>
        <w:bottom w:val="nil"/>
        <w:right w:val="nil"/>
        <w:between w:val="nil"/>
      </w:pBdr>
      <w:tabs>
        <w:tab w:val="center" w:pos="4680"/>
        <w:tab w:val="right" w:pos="9360"/>
      </w:tabs>
      <w:rPr>
        <w:rFonts w:ascii="Arial" w:hAnsi="Arial"/>
      </w:rPr>
    </w:pPr>
    <w:r>
      <w:rPr>
        <w:noProof/>
      </w:rPr>
      <w:drawing>
        <wp:anchor distT="0" distB="0" distL="114300" distR="114300" simplePos="0" relativeHeight="251659264" behindDoc="0" locked="0" layoutInCell="1" hidden="0" allowOverlap="1" wp14:anchorId="5F32F9C8" wp14:editId="41A55CED">
          <wp:simplePos x="0" y="0"/>
          <wp:positionH relativeFrom="column">
            <wp:posOffset>-820418</wp:posOffset>
          </wp:positionH>
          <wp:positionV relativeFrom="paragraph">
            <wp:posOffset>0</wp:posOffset>
          </wp:positionV>
          <wp:extent cx="7569200" cy="6274435"/>
          <wp:effectExtent l="0" t="0" r="0" b="0"/>
          <wp:wrapNone/>
          <wp:docPr id="1969219462" name="image4.png" descr="A colorful background with a rainbow&#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png" descr="A colorful background with a rainbow&#10;&#10;Description automatically generated with medium confidence"/>
                  <pic:cNvPicPr preferRelativeResize="0"/>
                </pic:nvPicPr>
                <pic:blipFill>
                  <a:blip r:embed="rId1"/>
                  <a:srcRect/>
                  <a:stretch>
                    <a:fillRect/>
                  </a:stretch>
                </pic:blipFill>
                <pic:spPr>
                  <a:xfrm rot="10800000">
                    <a:off x="0" y="0"/>
                    <a:ext cx="7569200" cy="627443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7FEABFD1" wp14:editId="6BCDBF51">
          <wp:simplePos x="0" y="0"/>
          <wp:positionH relativeFrom="column">
            <wp:posOffset>-169565</wp:posOffset>
          </wp:positionH>
          <wp:positionV relativeFrom="paragraph">
            <wp:posOffset>4524375</wp:posOffset>
          </wp:positionV>
          <wp:extent cx="6126176" cy="1039911"/>
          <wp:effectExtent l="0" t="0" r="0" b="0"/>
          <wp:wrapNone/>
          <wp:docPr id="1969219461" name="image2.png" descr="A black and white sig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and white sign with white text&#10;&#10;Description automatically generated"/>
                  <pic:cNvPicPr preferRelativeResize="0"/>
                </pic:nvPicPr>
                <pic:blipFill>
                  <a:blip r:embed="rId2"/>
                  <a:srcRect/>
                  <a:stretch>
                    <a:fillRect/>
                  </a:stretch>
                </pic:blipFill>
                <pic:spPr>
                  <a:xfrm>
                    <a:off x="0" y="0"/>
                    <a:ext cx="6126176" cy="103991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A467"/>
    <w:multiLevelType w:val="hybridMultilevel"/>
    <w:tmpl w:val="87844240"/>
    <w:lvl w:ilvl="0" w:tplc="1E66B33E">
      <w:start w:val="1"/>
      <w:numFmt w:val="bullet"/>
      <w:lvlText w:val=""/>
      <w:lvlJc w:val="left"/>
      <w:pPr>
        <w:ind w:left="720" w:hanging="360"/>
      </w:pPr>
      <w:rPr>
        <w:rFonts w:ascii="Symbol" w:hAnsi="Symbol" w:hint="default"/>
      </w:rPr>
    </w:lvl>
    <w:lvl w:ilvl="1" w:tplc="EC9CAA74">
      <w:start w:val="1"/>
      <w:numFmt w:val="bullet"/>
      <w:lvlText w:val="o"/>
      <w:lvlJc w:val="left"/>
      <w:pPr>
        <w:ind w:left="1440" w:hanging="360"/>
      </w:pPr>
      <w:rPr>
        <w:rFonts w:ascii="Courier New" w:hAnsi="Courier New" w:hint="default"/>
      </w:rPr>
    </w:lvl>
    <w:lvl w:ilvl="2" w:tplc="8E04D6EA">
      <w:start w:val="1"/>
      <w:numFmt w:val="bullet"/>
      <w:lvlText w:val=""/>
      <w:lvlJc w:val="left"/>
      <w:pPr>
        <w:ind w:left="2160" w:hanging="360"/>
      </w:pPr>
      <w:rPr>
        <w:rFonts w:ascii="Wingdings" w:hAnsi="Wingdings" w:hint="default"/>
      </w:rPr>
    </w:lvl>
    <w:lvl w:ilvl="3" w:tplc="4986F6A6">
      <w:start w:val="1"/>
      <w:numFmt w:val="bullet"/>
      <w:lvlText w:val=""/>
      <w:lvlJc w:val="left"/>
      <w:pPr>
        <w:ind w:left="2880" w:hanging="360"/>
      </w:pPr>
      <w:rPr>
        <w:rFonts w:ascii="Symbol" w:hAnsi="Symbol" w:hint="default"/>
      </w:rPr>
    </w:lvl>
    <w:lvl w:ilvl="4" w:tplc="09D473E2">
      <w:start w:val="1"/>
      <w:numFmt w:val="bullet"/>
      <w:lvlText w:val="o"/>
      <w:lvlJc w:val="left"/>
      <w:pPr>
        <w:ind w:left="3600" w:hanging="360"/>
      </w:pPr>
      <w:rPr>
        <w:rFonts w:ascii="Courier New" w:hAnsi="Courier New" w:hint="default"/>
      </w:rPr>
    </w:lvl>
    <w:lvl w:ilvl="5" w:tplc="231416A4">
      <w:start w:val="1"/>
      <w:numFmt w:val="bullet"/>
      <w:lvlText w:val=""/>
      <w:lvlJc w:val="left"/>
      <w:pPr>
        <w:ind w:left="4320" w:hanging="360"/>
      </w:pPr>
      <w:rPr>
        <w:rFonts w:ascii="Wingdings" w:hAnsi="Wingdings" w:hint="default"/>
      </w:rPr>
    </w:lvl>
    <w:lvl w:ilvl="6" w:tplc="D1A43F16">
      <w:start w:val="1"/>
      <w:numFmt w:val="bullet"/>
      <w:lvlText w:val=""/>
      <w:lvlJc w:val="left"/>
      <w:pPr>
        <w:ind w:left="5040" w:hanging="360"/>
      </w:pPr>
      <w:rPr>
        <w:rFonts w:ascii="Symbol" w:hAnsi="Symbol" w:hint="default"/>
      </w:rPr>
    </w:lvl>
    <w:lvl w:ilvl="7" w:tplc="7A36D9FC">
      <w:start w:val="1"/>
      <w:numFmt w:val="bullet"/>
      <w:lvlText w:val="o"/>
      <w:lvlJc w:val="left"/>
      <w:pPr>
        <w:ind w:left="5760" w:hanging="360"/>
      </w:pPr>
      <w:rPr>
        <w:rFonts w:ascii="Courier New" w:hAnsi="Courier New" w:hint="default"/>
      </w:rPr>
    </w:lvl>
    <w:lvl w:ilvl="8" w:tplc="201AE64E">
      <w:start w:val="1"/>
      <w:numFmt w:val="bullet"/>
      <w:lvlText w:val=""/>
      <w:lvlJc w:val="left"/>
      <w:pPr>
        <w:ind w:left="6480" w:hanging="360"/>
      </w:pPr>
      <w:rPr>
        <w:rFonts w:ascii="Wingdings" w:hAnsi="Wingdings" w:hint="default"/>
      </w:rPr>
    </w:lvl>
  </w:abstractNum>
  <w:abstractNum w:abstractNumId="1" w15:restartNumberingAfterBreak="0">
    <w:nsid w:val="119BE046"/>
    <w:multiLevelType w:val="hybridMultilevel"/>
    <w:tmpl w:val="8E4439D6"/>
    <w:lvl w:ilvl="0" w:tplc="178E1E9E">
      <w:start w:val="1"/>
      <w:numFmt w:val="bullet"/>
      <w:lvlText w:val=""/>
      <w:lvlJc w:val="left"/>
      <w:pPr>
        <w:ind w:left="720" w:hanging="360"/>
      </w:pPr>
      <w:rPr>
        <w:rFonts w:ascii="Symbol" w:hAnsi="Symbol" w:hint="default"/>
      </w:rPr>
    </w:lvl>
    <w:lvl w:ilvl="1" w:tplc="E53E3650">
      <w:start w:val="1"/>
      <w:numFmt w:val="bullet"/>
      <w:lvlText w:val="o"/>
      <w:lvlJc w:val="left"/>
      <w:pPr>
        <w:ind w:left="1440" w:hanging="360"/>
      </w:pPr>
      <w:rPr>
        <w:rFonts w:ascii="Courier New" w:hAnsi="Courier New" w:hint="default"/>
      </w:rPr>
    </w:lvl>
    <w:lvl w:ilvl="2" w:tplc="13CCE3B6">
      <w:start w:val="1"/>
      <w:numFmt w:val="bullet"/>
      <w:lvlText w:val=""/>
      <w:lvlJc w:val="left"/>
      <w:pPr>
        <w:ind w:left="2160" w:hanging="360"/>
      </w:pPr>
      <w:rPr>
        <w:rFonts w:ascii="Wingdings" w:hAnsi="Wingdings" w:hint="default"/>
      </w:rPr>
    </w:lvl>
    <w:lvl w:ilvl="3" w:tplc="5FFA8484">
      <w:start w:val="1"/>
      <w:numFmt w:val="bullet"/>
      <w:lvlText w:val=""/>
      <w:lvlJc w:val="left"/>
      <w:pPr>
        <w:ind w:left="2880" w:hanging="360"/>
      </w:pPr>
      <w:rPr>
        <w:rFonts w:ascii="Symbol" w:hAnsi="Symbol" w:hint="default"/>
      </w:rPr>
    </w:lvl>
    <w:lvl w:ilvl="4" w:tplc="3584539C">
      <w:start w:val="1"/>
      <w:numFmt w:val="bullet"/>
      <w:lvlText w:val="o"/>
      <w:lvlJc w:val="left"/>
      <w:pPr>
        <w:ind w:left="3600" w:hanging="360"/>
      </w:pPr>
      <w:rPr>
        <w:rFonts w:ascii="Courier New" w:hAnsi="Courier New" w:hint="default"/>
      </w:rPr>
    </w:lvl>
    <w:lvl w:ilvl="5" w:tplc="0EC62D80">
      <w:start w:val="1"/>
      <w:numFmt w:val="bullet"/>
      <w:lvlText w:val=""/>
      <w:lvlJc w:val="left"/>
      <w:pPr>
        <w:ind w:left="4320" w:hanging="360"/>
      </w:pPr>
      <w:rPr>
        <w:rFonts w:ascii="Wingdings" w:hAnsi="Wingdings" w:hint="default"/>
      </w:rPr>
    </w:lvl>
    <w:lvl w:ilvl="6" w:tplc="03D8B0FE">
      <w:start w:val="1"/>
      <w:numFmt w:val="bullet"/>
      <w:lvlText w:val=""/>
      <w:lvlJc w:val="left"/>
      <w:pPr>
        <w:ind w:left="5040" w:hanging="360"/>
      </w:pPr>
      <w:rPr>
        <w:rFonts w:ascii="Symbol" w:hAnsi="Symbol" w:hint="default"/>
      </w:rPr>
    </w:lvl>
    <w:lvl w:ilvl="7" w:tplc="A4FE1680">
      <w:start w:val="1"/>
      <w:numFmt w:val="bullet"/>
      <w:lvlText w:val="o"/>
      <w:lvlJc w:val="left"/>
      <w:pPr>
        <w:ind w:left="5760" w:hanging="360"/>
      </w:pPr>
      <w:rPr>
        <w:rFonts w:ascii="Courier New" w:hAnsi="Courier New" w:hint="default"/>
      </w:rPr>
    </w:lvl>
    <w:lvl w:ilvl="8" w:tplc="6AD8668A">
      <w:start w:val="1"/>
      <w:numFmt w:val="bullet"/>
      <w:lvlText w:val=""/>
      <w:lvlJc w:val="left"/>
      <w:pPr>
        <w:ind w:left="6480" w:hanging="360"/>
      </w:pPr>
      <w:rPr>
        <w:rFonts w:ascii="Wingdings" w:hAnsi="Wingdings" w:hint="default"/>
      </w:rPr>
    </w:lvl>
  </w:abstractNum>
  <w:abstractNum w:abstractNumId="2" w15:restartNumberingAfterBreak="0">
    <w:nsid w:val="25629CA0"/>
    <w:multiLevelType w:val="hybridMultilevel"/>
    <w:tmpl w:val="C6DA1E7A"/>
    <w:lvl w:ilvl="0" w:tplc="AD841AA4">
      <w:start w:val="1"/>
      <w:numFmt w:val="bullet"/>
      <w:lvlText w:val=""/>
      <w:lvlJc w:val="left"/>
      <w:pPr>
        <w:ind w:left="720" w:hanging="360"/>
      </w:pPr>
      <w:rPr>
        <w:rFonts w:ascii="Symbol" w:hAnsi="Symbol" w:hint="default"/>
      </w:rPr>
    </w:lvl>
    <w:lvl w:ilvl="1" w:tplc="6FDEF270">
      <w:start w:val="1"/>
      <w:numFmt w:val="bullet"/>
      <w:lvlText w:val="o"/>
      <w:lvlJc w:val="left"/>
      <w:pPr>
        <w:ind w:left="1440" w:hanging="360"/>
      </w:pPr>
      <w:rPr>
        <w:rFonts w:ascii="Courier New" w:hAnsi="Courier New" w:hint="default"/>
      </w:rPr>
    </w:lvl>
    <w:lvl w:ilvl="2" w:tplc="79AEADE2">
      <w:start w:val="1"/>
      <w:numFmt w:val="bullet"/>
      <w:lvlText w:val=""/>
      <w:lvlJc w:val="left"/>
      <w:pPr>
        <w:ind w:left="2160" w:hanging="360"/>
      </w:pPr>
      <w:rPr>
        <w:rFonts w:ascii="Wingdings" w:hAnsi="Wingdings" w:hint="default"/>
      </w:rPr>
    </w:lvl>
    <w:lvl w:ilvl="3" w:tplc="507CFCEC">
      <w:start w:val="1"/>
      <w:numFmt w:val="bullet"/>
      <w:lvlText w:val=""/>
      <w:lvlJc w:val="left"/>
      <w:pPr>
        <w:ind w:left="2880" w:hanging="360"/>
      </w:pPr>
      <w:rPr>
        <w:rFonts w:ascii="Symbol" w:hAnsi="Symbol" w:hint="default"/>
      </w:rPr>
    </w:lvl>
    <w:lvl w:ilvl="4" w:tplc="952C4EA2">
      <w:start w:val="1"/>
      <w:numFmt w:val="bullet"/>
      <w:lvlText w:val="o"/>
      <w:lvlJc w:val="left"/>
      <w:pPr>
        <w:ind w:left="3600" w:hanging="360"/>
      </w:pPr>
      <w:rPr>
        <w:rFonts w:ascii="Courier New" w:hAnsi="Courier New" w:hint="default"/>
      </w:rPr>
    </w:lvl>
    <w:lvl w:ilvl="5" w:tplc="287A1AD8">
      <w:start w:val="1"/>
      <w:numFmt w:val="bullet"/>
      <w:lvlText w:val=""/>
      <w:lvlJc w:val="left"/>
      <w:pPr>
        <w:ind w:left="4320" w:hanging="360"/>
      </w:pPr>
      <w:rPr>
        <w:rFonts w:ascii="Wingdings" w:hAnsi="Wingdings" w:hint="default"/>
      </w:rPr>
    </w:lvl>
    <w:lvl w:ilvl="6" w:tplc="44888286">
      <w:start w:val="1"/>
      <w:numFmt w:val="bullet"/>
      <w:lvlText w:val=""/>
      <w:lvlJc w:val="left"/>
      <w:pPr>
        <w:ind w:left="5040" w:hanging="360"/>
      </w:pPr>
      <w:rPr>
        <w:rFonts w:ascii="Symbol" w:hAnsi="Symbol" w:hint="default"/>
      </w:rPr>
    </w:lvl>
    <w:lvl w:ilvl="7" w:tplc="EEBEACEA">
      <w:start w:val="1"/>
      <w:numFmt w:val="bullet"/>
      <w:lvlText w:val="o"/>
      <w:lvlJc w:val="left"/>
      <w:pPr>
        <w:ind w:left="5760" w:hanging="360"/>
      </w:pPr>
      <w:rPr>
        <w:rFonts w:ascii="Courier New" w:hAnsi="Courier New" w:hint="default"/>
      </w:rPr>
    </w:lvl>
    <w:lvl w:ilvl="8" w:tplc="36DA9150">
      <w:start w:val="1"/>
      <w:numFmt w:val="bullet"/>
      <w:lvlText w:val=""/>
      <w:lvlJc w:val="left"/>
      <w:pPr>
        <w:ind w:left="6480" w:hanging="360"/>
      </w:pPr>
      <w:rPr>
        <w:rFonts w:ascii="Wingdings" w:hAnsi="Wingdings" w:hint="default"/>
      </w:rPr>
    </w:lvl>
  </w:abstractNum>
  <w:abstractNum w:abstractNumId="3" w15:restartNumberingAfterBreak="0">
    <w:nsid w:val="316F1B08"/>
    <w:multiLevelType w:val="multilevel"/>
    <w:tmpl w:val="700032FA"/>
    <w:lvl w:ilvl="0">
      <w:start w:val="1"/>
      <w:numFmt w:val="bullet"/>
      <w:lvlText w:val="●"/>
      <w:lvlJc w:val="left"/>
      <w:pPr>
        <w:ind w:left="720" w:hanging="360"/>
      </w:pPr>
      <w:rPr>
        <w:color w:val="F3AF1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C888AD"/>
    <w:multiLevelType w:val="hybridMultilevel"/>
    <w:tmpl w:val="43BE3FB0"/>
    <w:lvl w:ilvl="0" w:tplc="B658E20E">
      <w:start w:val="1"/>
      <w:numFmt w:val="bullet"/>
      <w:lvlText w:val=""/>
      <w:lvlJc w:val="left"/>
      <w:pPr>
        <w:ind w:left="720" w:hanging="360"/>
      </w:pPr>
      <w:rPr>
        <w:rFonts w:ascii="Symbol" w:hAnsi="Symbol" w:hint="default"/>
      </w:rPr>
    </w:lvl>
    <w:lvl w:ilvl="1" w:tplc="F8209088">
      <w:start w:val="1"/>
      <w:numFmt w:val="bullet"/>
      <w:lvlText w:val="o"/>
      <w:lvlJc w:val="left"/>
      <w:pPr>
        <w:ind w:left="1440" w:hanging="360"/>
      </w:pPr>
      <w:rPr>
        <w:rFonts w:ascii="Courier New" w:hAnsi="Courier New" w:hint="default"/>
      </w:rPr>
    </w:lvl>
    <w:lvl w:ilvl="2" w:tplc="3E361CBE">
      <w:start w:val="1"/>
      <w:numFmt w:val="bullet"/>
      <w:lvlText w:val=""/>
      <w:lvlJc w:val="left"/>
      <w:pPr>
        <w:ind w:left="2160" w:hanging="360"/>
      </w:pPr>
      <w:rPr>
        <w:rFonts w:ascii="Wingdings" w:hAnsi="Wingdings" w:hint="default"/>
      </w:rPr>
    </w:lvl>
    <w:lvl w:ilvl="3" w:tplc="1E2E421C">
      <w:start w:val="1"/>
      <w:numFmt w:val="bullet"/>
      <w:lvlText w:val=""/>
      <w:lvlJc w:val="left"/>
      <w:pPr>
        <w:ind w:left="2880" w:hanging="360"/>
      </w:pPr>
      <w:rPr>
        <w:rFonts w:ascii="Symbol" w:hAnsi="Symbol" w:hint="default"/>
      </w:rPr>
    </w:lvl>
    <w:lvl w:ilvl="4" w:tplc="9624623A">
      <w:start w:val="1"/>
      <w:numFmt w:val="bullet"/>
      <w:lvlText w:val="o"/>
      <w:lvlJc w:val="left"/>
      <w:pPr>
        <w:ind w:left="3600" w:hanging="360"/>
      </w:pPr>
      <w:rPr>
        <w:rFonts w:ascii="Courier New" w:hAnsi="Courier New" w:hint="default"/>
      </w:rPr>
    </w:lvl>
    <w:lvl w:ilvl="5" w:tplc="AE2C8424">
      <w:start w:val="1"/>
      <w:numFmt w:val="bullet"/>
      <w:lvlText w:val=""/>
      <w:lvlJc w:val="left"/>
      <w:pPr>
        <w:ind w:left="4320" w:hanging="360"/>
      </w:pPr>
      <w:rPr>
        <w:rFonts w:ascii="Wingdings" w:hAnsi="Wingdings" w:hint="default"/>
      </w:rPr>
    </w:lvl>
    <w:lvl w:ilvl="6" w:tplc="EF007F7A">
      <w:start w:val="1"/>
      <w:numFmt w:val="bullet"/>
      <w:lvlText w:val=""/>
      <w:lvlJc w:val="left"/>
      <w:pPr>
        <w:ind w:left="5040" w:hanging="360"/>
      </w:pPr>
      <w:rPr>
        <w:rFonts w:ascii="Symbol" w:hAnsi="Symbol" w:hint="default"/>
      </w:rPr>
    </w:lvl>
    <w:lvl w:ilvl="7" w:tplc="D0C80330">
      <w:start w:val="1"/>
      <w:numFmt w:val="bullet"/>
      <w:lvlText w:val="o"/>
      <w:lvlJc w:val="left"/>
      <w:pPr>
        <w:ind w:left="5760" w:hanging="360"/>
      </w:pPr>
      <w:rPr>
        <w:rFonts w:ascii="Courier New" w:hAnsi="Courier New" w:hint="default"/>
      </w:rPr>
    </w:lvl>
    <w:lvl w:ilvl="8" w:tplc="ABCAD23E">
      <w:start w:val="1"/>
      <w:numFmt w:val="bullet"/>
      <w:lvlText w:val=""/>
      <w:lvlJc w:val="left"/>
      <w:pPr>
        <w:ind w:left="6480" w:hanging="360"/>
      </w:pPr>
      <w:rPr>
        <w:rFonts w:ascii="Wingdings" w:hAnsi="Wingdings" w:hint="default"/>
      </w:rPr>
    </w:lvl>
  </w:abstractNum>
  <w:abstractNum w:abstractNumId="5" w15:restartNumberingAfterBreak="0">
    <w:nsid w:val="409E29B8"/>
    <w:multiLevelType w:val="hybridMultilevel"/>
    <w:tmpl w:val="449A5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158CA"/>
    <w:multiLevelType w:val="hybridMultilevel"/>
    <w:tmpl w:val="40D4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4B5A29"/>
    <w:multiLevelType w:val="multilevel"/>
    <w:tmpl w:val="5B6A443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40117389">
    <w:abstractNumId w:val="3"/>
  </w:num>
  <w:num w:numId="2" w16cid:durableId="636761995">
    <w:abstractNumId w:val="7"/>
  </w:num>
  <w:num w:numId="3" w16cid:durableId="1907255377">
    <w:abstractNumId w:val="5"/>
  </w:num>
  <w:num w:numId="4" w16cid:durableId="902831798">
    <w:abstractNumId w:val="2"/>
  </w:num>
  <w:num w:numId="5" w16cid:durableId="599727748">
    <w:abstractNumId w:val="1"/>
  </w:num>
  <w:num w:numId="6" w16cid:durableId="1602488312">
    <w:abstractNumId w:val="4"/>
  </w:num>
  <w:num w:numId="7" w16cid:durableId="1077166443">
    <w:abstractNumId w:val="0"/>
  </w:num>
  <w:num w:numId="8" w16cid:durableId="14061427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40D"/>
    <w:rsid w:val="00080D90"/>
    <w:rsid w:val="0008125C"/>
    <w:rsid w:val="00093531"/>
    <w:rsid w:val="00237DC8"/>
    <w:rsid w:val="002A1606"/>
    <w:rsid w:val="002D0142"/>
    <w:rsid w:val="00714B61"/>
    <w:rsid w:val="0077090B"/>
    <w:rsid w:val="007E5653"/>
    <w:rsid w:val="008B598F"/>
    <w:rsid w:val="00936847"/>
    <w:rsid w:val="009F4960"/>
    <w:rsid w:val="00A00DF6"/>
    <w:rsid w:val="00A77973"/>
    <w:rsid w:val="00AA7B0B"/>
    <w:rsid w:val="00B63E1D"/>
    <w:rsid w:val="00C33E23"/>
    <w:rsid w:val="00C43897"/>
    <w:rsid w:val="00D959BA"/>
    <w:rsid w:val="00DD140D"/>
    <w:rsid w:val="00E5172D"/>
    <w:rsid w:val="00EF2451"/>
    <w:rsid w:val="00FF31D2"/>
    <w:rsid w:val="7615752D"/>
    <w:rsid w:val="76652C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B7471"/>
  <w15:docId w15:val="{13FDF9EC-EEA3-0F45-8CE5-EF70415F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64949"/>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09F"/>
    <w:rPr>
      <w:rFonts w:asciiTheme="minorHAnsi" w:hAnsiTheme="minorHAnsi"/>
    </w:rPr>
  </w:style>
  <w:style w:type="paragraph" w:styleId="Heading1">
    <w:name w:val="heading 1"/>
    <w:link w:val="Heading1Char"/>
    <w:uiPriority w:val="9"/>
    <w:qFormat/>
    <w:rsid w:val="00431134"/>
    <w:pPr>
      <w:numPr>
        <w:numId w:val="2"/>
      </w:numPr>
      <w:pBdr>
        <w:top w:val="single" w:sz="4" w:space="1" w:color="F3AF1C" w:themeColor="accent3"/>
        <w:bottom w:val="single" w:sz="4" w:space="1" w:color="F3AF1C" w:themeColor="accent3"/>
      </w:pBdr>
      <w:spacing w:before="480" w:after="240"/>
      <w:contextualSpacing/>
      <w:outlineLvl w:val="0"/>
    </w:pPr>
    <w:rPr>
      <w:rFonts w:asciiTheme="majorHAnsi" w:eastAsiaTheme="majorEastAsia" w:hAnsiTheme="majorHAnsi"/>
      <w:caps/>
      <w:color w:val="0B3837" w:themeColor="accent5"/>
      <w:sz w:val="28"/>
      <w:lang w:eastAsia="de-DE"/>
    </w:rPr>
  </w:style>
  <w:style w:type="paragraph" w:styleId="Heading2">
    <w:name w:val="heading 2"/>
    <w:basedOn w:val="Heading1"/>
    <w:link w:val="Heading2Char"/>
    <w:uiPriority w:val="9"/>
    <w:semiHidden/>
    <w:unhideWhenUsed/>
    <w:qFormat/>
    <w:rsid w:val="003A268B"/>
    <w:pPr>
      <w:numPr>
        <w:ilvl w:val="1"/>
      </w:numPr>
      <w:outlineLvl w:val="1"/>
    </w:pPr>
    <w:rPr>
      <w:iCs/>
    </w:rPr>
  </w:style>
  <w:style w:type="paragraph" w:styleId="Heading3">
    <w:name w:val="heading 3"/>
    <w:basedOn w:val="Heading2"/>
    <w:link w:val="Heading3Char"/>
    <w:uiPriority w:val="9"/>
    <w:semiHidden/>
    <w:unhideWhenUsed/>
    <w:qFormat/>
    <w:rsid w:val="00610592"/>
    <w:pPr>
      <w:numPr>
        <w:ilvl w:val="2"/>
      </w:numPr>
      <w:spacing w:before="280" w:after="180"/>
      <w:outlineLvl w:val="2"/>
    </w:pPr>
    <w:rPr>
      <w:caps w:val="0"/>
      <w:sz w:val="24"/>
      <w:szCs w:val="72"/>
    </w:rPr>
  </w:style>
  <w:style w:type="paragraph" w:styleId="Heading4">
    <w:name w:val="heading 4"/>
    <w:basedOn w:val="Heading3"/>
    <w:link w:val="Heading4Char"/>
    <w:uiPriority w:val="9"/>
    <w:semiHidden/>
    <w:unhideWhenUsed/>
    <w:qFormat/>
    <w:rsid w:val="00C76A3E"/>
    <w:pPr>
      <w:numPr>
        <w:ilvl w:val="3"/>
      </w:numPr>
      <w:tabs>
        <w:tab w:val="right" w:pos="6740"/>
      </w:tabs>
      <w:outlineLvl w:val="3"/>
    </w:pPr>
  </w:style>
  <w:style w:type="paragraph" w:styleId="Heading5">
    <w:name w:val="heading 5"/>
    <w:basedOn w:val="Normal"/>
    <w:link w:val="Heading5Char"/>
    <w:uiPriority w:val="9"/>
    <w:semiHidden/>
    <w:unhideWhenUsed/>
    <w:qFormat/>
    <w:rsid w:val="00C76A3E"/>
    <w:pPr>
      <w:keepNext/>
      <w:keepLines/>
      <w:numPr>
        <w:ilvl w:val="4"/>
        <w:numId w:val="2"/>
      </w:numPr>
      <w:pBdr>
        <w:top w:val="single" w:sz="4" w:space="1" w:color="F3AF1C" w:themeColor="accent3"/>
        <w:bottom w:val="single" w:sz="4" w:space="1" w:color="F3AF1C" w:themeColor="accent3"/>
      </w:pBdr>
      <w:spacing w:before="160" w:after="60"/>
      <w:jc w:val="both"/>
      <w:outlineLvl w:val="4"/>
    </w:pPr>
    <w:rPr>
      <w:color w:val="45A7AA" w:themeColor="accent2"/>
      <w:lang w:eastAsia="de-DE"/>
    </w:rPr>
  </w:style>
  <w:style w:type="paragraph" w:styleId="Heading6">
    <w:name w:val="heading 6"/>
    <w:basedOn w:val="Normal"/>
    <w:link w:val="Heading6Char"/>
    <w:uiPriority w:val="9"/>
    <w:semiHidden/>
    <w:unhideWhenUsed/>
    <w:qFormat/>
    <w:rsid w:val="00E02AC2"/>
    <w:pPr>
      <w:numPr>
        <w:ilvl w:val="5"/>
        <w:numId w:val="2"/>
      </w:numPr>
      <w:pBdr>
        <w:top w:val="single" w:sz="4" w:space="1" w:color="F3AF1C" w:themeColor="accent3"/>
        <w:bottom w:val="single" w:sz="4" w:space="1" w:color="F3AF1C" w:themeColor="accent3"/>
      </w:pBdr>
      <w:spacing w:before="60" w:after="60"/>
      <w:jc w:val="both"/>
      <w:outlineLvl w:val="5"/>
    </w:pPr>
    <w:rPr>
      <w:color w:val="45A7AA" w:themeColor="accent1"/>
      <w:lang w:eastAsia="de-DE"/>
    </w:rPr>
  </w:style>
  <w:style w:type="paragraph" w:styleId="Heading7">
    <w:name w:val="heading 7"/>
    <w:basedOn w:val="Normal"/>
    <w:link w:val="Heading7Char"/>
    <w:qFormat/>
    <w:rsid w:val="00C76A3E"/>
    <w:pPr>
      <w:numPr>
        <w:ilvl w:val="6"/>
        <w:numId w:val="2"/>
      </w:numPr>
      <w:pBdr>
        <w:top w:val="single" w:sz="4" w:space="1" w:color="F3AF1C" w:themeColor="accent3"/>
        <w:bottom w:val="single" w:sz="4" w:space="1" w:color="F3AF1C" w:themeColor="accent3"/>
      </w:pBdr>
      <w:tabs>
        <w:tab w:val="right" w:pos="7220"/>
      </w:tabs>
      <w:spacing w:before="60" w:after="240"/>
      <w:ind w:left="1021" w:right="-301"/>
      <w:outlineLvl w:val="6"/>
    </w:pPr>
    <w:rPr>
      <w:color w:val="45A7AA" w:themeColor="accent1"/>
      <w:sz w:val="20"/>
      <w:lang w:eastAsia="de-DE"/>
    </w:rPr>
  </w:style>
  <w:style w:type="paragraph" w:styleId="Heading8">
    <w:name w:val="heading 8"/>
    <w:basedOn w:val="Normal"/>
    <w:link w:val="Heading8Char"/>
    <w:qFormat/>
    <w:rsid w:val="00E02AC2"/>
    <w:pPr>
      <w:numPr>
        <w:ilvl w:val="7"/>
        <w:numId w:val="2"/>
      </w:numPr>
      <w:pBdr>
        <w:top w:val="single" w:sz="4" w:space="1" w:color="F3AF1C" w:themeColor="accent3"/>
        <w:bottom w:val="single" w:sz="4" w:space="1" w:color="F3AF1C" w:themeColor="accent3"/>
      </w:pBdr>
      <w:spacing w:before="60" w:after="60"/>
      <w:ind w:left="680"/>
      <w:jc w:val="both"/>
      <w:outlineLvl w:val="7"/>
    </w:pPr>
    <w:rPr>
      <w:sz w:val="20"/>
      <w:lang w:eastAsia="de-DE"/>
    </w:rPr>
  </w:style>
  <w:style w:type="paragraph" w:styleId="Heading9">
    <w:name w:val="heading 9"/>
    <w:basedOn w:val="Normal"/>
    <w:link w:val="Heading9Char"/>
    <w:rsid w:val="00E02AC2"/>
    <w:pPr>
      <w:numPr>
        <w:ilvl w:val="8"/>
        <w:numId w:val="2"/>
      </w:numPr>
      <w:pBdr>
        <w:top w:val="single" w:sz="4" w:space="1" w:color="F3AF1C" w:themeColor="accent3"/>
        <w:bottom w:val="single" w:sz="4" w:space="1" w:color="F3AF1C" w:themeColor="accent3"/>
      </w:pBdr>
      <w:spacing w:before="60" w:after="60"/>
      <w:ind w:left="680"/>
      <w:jc w:val="both"/>
      <w:outlineLvl w:val="8"/>
    </w:pPr>
    <w:rPr>
      <w:sz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25252"/>
    <w:pPr>
      <w:pageBreakBefore/>
      <w:widowControl w:val="0"/>
      <w:pBdr>
        <w:bottom w:val="dotted" w:sz="4" w:space="1" w:color="0B3837" w:themeColor="accent6"/>
      </w:pBdr>
      <w:spacing w:before="360" w:after="400"/>
      <w:contextualSpacing/>
      <w:jc w:val="center"/>
    </w:pPr>
    <w:rPr>
      <w:rFonts w:asciiTheme="majorHAnsi" w:eastAsiaTheme="majorEastAsia" w:hAnsiTheme="majorHAnsi" w:cstheme="majorBidi"/>
      <w:bCs/>
      <w:iCs/>
      <w:caps/>
      <w:color w:val="0B3837" w:themeColor="accent6"/>
      <w:sz w:val="28"/>
      <w:szCs w:val="56"/>
      <w:lang w:eastAsia="de-DE"/>
    </w:rPr>
  </w:style>
  <w:style w:type="paragraph" w:styleId="Header">
    <w:name w:val="header"/>
    <w:basedOn w:val="Normal"/>
    <w:link w:val="HeaderChar"/>
    <w:uiPriority w:val="99"/>
    <w:unhideWhenUsed/>
    <w:rsid w:val="00192686"/>
    <w:pPr>
      <w:tabs>
        <w:tab w:val="center" w:pos="4680"/>
        <w:tab w:val="right" w:pos="9360"/>
      </w:tabs>
    </w:pPr>
  </w:style>
  <w:style w:type="character" w:customStyle="1" w:styleId="HeaderChar">
    <w:name w:val="Header Char"/>
    <w:basedOn w:val="DefaultParagraphFont"/>
    <w:link w:val="Header"/>
    <w:uiPriority w:val="99"/>
    <w:rsid w:val="00192686"/>
  </w:style>
  <w:style w:type="paragraph" w:styleId="Footer">
    <w:name w:val="footer"/>
    <w:basedOn w:val="Normal"/>
    <w:link w:val="FooterChar"/>
    <w:uiPriority w:val="99"/>
    <w:unhideWhenUsed/>
    <w:rsid w:val="00ED309F"/>
    <w:pPr>
      <w:tabs>
        <w:tab w:val="center" w:pos="4680"/>
        <w:tab w:val="right" w:pos="9360"/>
      </w:tabs>
    </w:pPr>
  </w:style>
  <w:style w:type="character" w:customStyle="1" w:styleId="FooterChar">
    <w:name w:val="Footer Char"/>
    <w:basedOn w:val="DefaultParagraphFont"/>
    <w:link w:val="Footer"/>
    <w:uiPriority w:val="99"/>
    <w:rsid w:val="00ED309F"/>
    <w:rPr>
      <w:rFonts w:asciiTheme="minorHAnsi" w:hAnsiTheme="minorHAnsi"/>
    </w:rPr>
  </w:style>
  <w:style w:type="character" w:customStyle="1" w:styleId="Heading1Char">
    <w:name w:val="Heading 1 Char"/>
    <w:basedOn w:val="DefaultParagraphFont"/>
    <w:link w:val="Heading1"/>
    <w:rsid w:val="00431134"/>
    <w:rPr>
      <w:rFonts w:asciiTheme="majorHAnsi" w:eastAsiaTheme="majorEastAsia" w:hAnsiTheme="majorHAnsi"/>
      <w:caps/>
      <w:color w:val="0B3837" w:themeColor="accent5"/>
      <w:sz w:val="28"/>
      <w:lang w:val="en-GB" w:eastAsia="de-DE"/>
    </w:rPr>
  </w:style>
  <w:style w:type="character" w:customStyle="1" w:styleId="Heading2Char">
    <w:name w:val="Heading 2 Char"/>
    <w:basedOn w:val="DefaultParagraphFont"/>
    <w:link w:val="Heading2"/>
    <w:rsid w:val="003A268B"/>
    <w:rPr>
      <w:rFonts w:ascii="Montserrat SemiBold" w:eastAsiaTheme="majorEastAsia" w:hAnsi="Montserrat SemiBold" w:cs="Times New Roman"/>
      <w:iCs/>
      <w:caps/>
      <w:color w:val="45A7AA" w:themeColor="accent1"/>
      <w:kern w:val="2"/>
      <w:sz w:val="28"/>
      <w:szCs w:val="20"/>
      <w:lang w:val="en-GB" w:eastAsia="de-DE"/>
    </w:rPr>
  </w:style>
  <w:style w:type="character" w:customStyle="1" w:styleId="Heading3Char">
    <w:name w:val="Heading 3 Char"/>
    <w:basedOn w:val="DefaultParagraphFont"/>
    <w:link w:val="Heading3"/>
    <w:rsid w:val="00610592"/>
    <w:rPr>
      <w:rFonts w:ascii="Open Sans SemiBold" w:eastAsiaTheme="majorEastAsia" w:hAnsi="Open Sans SemiBold"/>
      <w:iCs/>
      <w:sz w:val="24"/>
      <w:szCs w:val="72"/>
      <w:lang w:val="en-GB" w:eastAsia="de-DE"/>
    </w:rPr>
  </w:style>
  <w:style w:type="character" w:customStyle="1" w:styleId="Heading4Char">
    <w:name w:val="Heading 4 Char"/>
    <w:basedOn w:val="DefaultParagraphFont"/>
    <w:link w:val="Heading4"/>
    <w:rsid w:val="00C76A3E"/>
    <w:rPr>
      <w:rFonts w:asciiTheme="majorHAnsi" w:eastAsiaTheme="majorEastAsia" w:hAnsiTheme="majorHAnsi"/>
      <w:iCs/>
      <w:color w:val="0B3837" w:themeColor="accent5"/>
      <w:sz w:val="24"/>
      <w:szCs w:val="72"/>
      <w:lang w:val="en-GB" w:eastAsia="de-DE"/>
    </w:rPr>
  </w:style>
  <w:style w:type="character" w:customStyle="1" w:styleId="Heading5Char">
    <w:name w:val="Heading 5 Char"/>
    <w:basedOn w:val="DefaultParagraphFont"/>
    <w:link w:val="Heading5"/>
    <w:rsid w:val="00C76A3E"/>
    <w:rPr>
      <w:rFonts w:asciiTheme="minorHAnsi" w:hAnsiTheme="minorHAnsi"/>
      <w:color w:val="45A7AA" w:themeColor="accent2"/>
      <w:lang w:eastAsia="de-DE"/>
    </w:rPr>
  </w:style>
  <w:style w:type="character" w:customStyle="1" w:styleId="Heading6Char">
    <w:name w:val="Heading 6 Char"/>
    <w:basedOn w:val="DefaultParagraphFont"/>
    <w:link w:val="Heading6"/>
    <w:rsid w:val="00E02AC2"/>
    <w:rPr>
      <w:rFonts w:asciiTheme="minorHAnsi" w:hAnsiTheme="minorHAnsi"/>
      <w:color w:val="45A7AA" w:themeColor="accent1"/>
      <w:lang w:eastAsia="de-DE"/>
    </w:rPr>
  </w:style>
  <w:style w:type="character" w:customStyle="1" w:styleId="Heading7Char">
    <w:name w:val="Heading 7 Char"/>
    <w:basedOn w:val="DefaultParagraphFont"/>
    <w:link w:val="Heading7"/>
    <w:rsid w:val="00C76A3E"/>
    <w:rPr>
      <w:rFonts w:asciiTheme="minorHAnsi" w:hAnsiTheme="minorHAnsi"/>
      <w:color w:val="45A7AA" w:themeColor="accent1"/>
      <w:sz w:val="20"/>
      <w:lang w:eastAsia="de-DE"/>
    </w:rPr>
  </w:style>
  <w:style w:type="character" w:customStyle="1" w:styleId="Heading8Char">
    <w:name w:val="Heading 8 Char"/>
    <w:basedOn w:val="DefaultParagraphFont"/>
    <w:link w:val="Heading8"/>
    <w:rsid w:val="00E02AC2"/>
    <w:rPr>
      <w:rFonts w:asciiTheme="minorHAnsi" w:hAnsiTheme="minorHAnsi"/>
      <w:sz w:val="20"/>
      <w:lang w:eastAsia="de-DE"/>
    </w:rPr>
  </w:style>
  <w:style w:type="character" w:customStyle="1" w:styleId="Heading9Char">
    <w:name w:val="Heading 9 Char"/>
    <w:basedOn w:val="DefaultParagraphFont"/>
    <w:link w:val="Heading9"/>
    <w:rsid w:val="00E02AC2"/>
    <w:rPr>
      <w:rFonts w:asciiTheme="minorHAnsi" w:hAnsiTheme="minorHAnsi"/>
      <w:sz w:val="20"/>
      <w:lang w:eastAsia="de-DE"/>
    </w:rPr>
  </w:style>
  <w:style w:type="character" w:styleId="Strong">
    <w:name w:val="Strong"/>
    <w:qFormat/>
    <w:rsid w:val="00431134"/>
    <w:rPr>
      <w:rFonts w:asciiTheme="majorHAnsi" w:hAnsiTheme="majorHAnsi" w:cs="Times New Roman"/>
      <w:b w:val="0"/>
      <w:bCs/>
      <w:i w:val="0"/>
      <w:color w:val="4A6363" w:themeColor="text1" w:themeTint="BF"/>
    </w:rPr>
  </w:style>
  <w:style w:type="paragraph" w:customStyle="1" w:styleId="TITLE2">
    <w:name w:val="TITLE 2"/>
    <w:basedOn w:val="Title1"/>
    <w:qFormat/>
    <w:rsid w:val="0023349D"/>
    <w:rPr>
      <w:b/>
      <w:color w:val="45A7AA" w:themeColor="accent1"/>
      <w:sz w:val="24"/>
      <w:szCs w:val="28"/>
    </w:rPr>
  </w:style>
  <w:style w:type="character" w:customStyle="1" w:styleId="FootnoteCharacters">
    <w:name w:val="Footnote Characters"/>
    <w:unhideWhenUsed/>
    <w:qFormat/>
    <w:rsid w:val="00BA6E0E"/>
    <w:rPr>
      <w:rFonts w:asciiTheme="minorHAnsi" w:hAnsiTheme="minorHAnsi"/>
      <w:color w:val="4A6363" w:themeColor="text1" w:themeTint="BF"/>
      <w:lang w:val="nl-NL"/>
    </w:rPr>
  </w:style>
  <w:style w:type="character" w:customStyle="1" w:styleId="FootnoteAnchor">
    <w:name w:val="Footnote Anchor"/>
    <w:rsid w:val="00C2600D"/>
    <w:rPr>
      <w:vertAlign w:val="superscript"/>
    </w:rPr>
  </w:style>
  <w:style w:type="character" w:customStyle="1" w:styleId="BodyTextChar">
    <w:name w:val="Body Text Char"/>
    <w:basedOn w:val="DefaultParagraphFont"/>
    <w:link w:val="BodyText"/>
    <w:qFormat/>
    <w:rsid w:val="0023349D"/>
    <w:rPr>
      <w:rFonts w:asciiTheme="minorHAnsi" w:hAnsiTheme="minorHAnsi"/>
      <w:color w:val="1A2323" w:themeColor="text1"/>
      <w:lang w:val="en-GB"/>
    </w:rPr>
  </w:style>
  <w:style w:type="character" w:customStyle="1" w:styleId="BoldLightBlue">
    <w:name w:val="Bold Light Blue"/>
    <w:basedOn w:val="DefaultParagraphFont"/>
    <w:uiPriority w:val="1"/>
    <w:qFormat/>
    <w:rsid w:val="00962C5D"/>
    <w:rPr>
      <w:rFonts w:asciiTheme="minorHAnsi" w:hAnsiTheme="minorHAnsi" w:cs="Times New Roman"/>
      <w:b/>
      <w:bCs/>
      <w:i w:val="0"/>
      <w:color w:val="7BC24E"/>
    </w:rPr>
  </w:style>
  <w:style w:type="character" w:customStyle="1" w:styleId="SubtitleNoBold">
    <w:name w:val="Subtitle | No Bold"/>
    <w:basedOn w:val="DefaultParagraphFont"/>
    <w:uiPriority w:val="1"/>
    <w:qFormat/>
    <w:rsid w:val="00147D89"/>
    <w:rPr>
      <w:bCs/>
      <w:color w:val="45A7AA" w:themeColor="accent2"/>
      <w:sz w:val="36"/>
      <w:szCs w:val="36"/>
    </w:rPr>
  </w:style>
  <w:style w:type="character" w:customStyle="1" w:styleId="ALLCAPITALIZED">
    <w:name w:val="ALL CAPITALIZED"/>
    <w:basedOn w:val="DefaultParagraphFont"/>
    <w:uiPriority w:val="1"/>
    <w:qFormat/>
    <w:rsid w:val="00F2745B"/>
    <w:rPr>
      <w:rFonts w:eastAsia="Times New Roman" w:cs="Open Sans"/>
      <w:b/>
      <w:caps/>
      <w:color w:val="1A2323" w:themeColor="text2"/>
      <w:sz w:val="18"/>
      <w:lang w:val="fr-FR"/>
    </w:rPr>
  </w:style>
  <w:style w:type="paragraph" w:styleId="BodyText">
    <w:name w:val="Body Text"/>
    <w:basedOn w:val="Normal"/>
    <w:link w:val="BodyTextChar"/>
    <w:unhideWhenUsed/>
    <w:qFormat/>
    <w:rsid w:val="0023349D"/>
    <w:pPr>
      <w:spacing w:before="120" w:after="180"/>
      <w:jc w:val="both"/>
    </w:pPr>
    <w:rPr>
      <w:color w:val="1A2323" w:themeColor="text1"/>
    </w:rPr>
  </w:style>
  <w:style w:type="character" w:customStyle="1" w:styleId="BodyTextChar1">
    <w:name w:val="Body Text Char1"/>
    <w:basedOn w:val="DefaultParagraphFont"/>
    <w:uiPriority w:val="99"/>
    <w:semiHidden/>
    <w:rsid w:val="00C2600D"/>
    <w:rPr>
      <w:rFonts w:ascii="Montserrat" w:eastAsia="Times New Roman" w:hAnsi="Montserrat" w:cs="Times New Roman"/>
      <w:color w:val="1A2323" w:themeColor="text2"/>
      <w:lang w:val="en-GB" w:eastAsia="en-GB"/>
    </w:rPr>
  </w:style>
  <w:style w:type="paragraph" w:styleId="Caption">
    <w:name w:val="caption"/>
    <w:basedOn w:val="Normal"/>
    <w:qFormat/>
    <w:rsid w:val="00AB23D6"/>
    <w:pPr>
      <w:spacing w:before="120" w:after="240"/>
      <w:jc w:val="center"/>
    </w:pPr>
    <w:rPr>
      <w:bCs/>
      <w:iCs/>
      <w:caps/>
      <w:sz w:val="18"/>
      <w:lang w:eastAsia="de-DE"/>
    </w:rPr>
  </w:style>
  <w:style w:type="paragraph" w:customStyle="1" w:styleId="Title1">
    <w:name w:val="Title 1"/>
    <w:basedOn w:val="Normal"/>
    <w:qFormat/>
    <w:rsid w:val="00425252"/>
    <w:pPr>
      <w:spacing w:before="360" w:after="240"/>
    </w:pPr>
    <w:rPr>
      <w:rFonts w:asciiTheme="majorHAnsi" w:eastAsia="SimSun" w:hAnsiTheme="majorHAnsi"/>
      <w:caps/>
      <w:sz w:val="32"/>
      <w:lang w:val="nl-NL" w:eastAsia="zh-CN"/>
    </w:rPr>
  </w:style>
  <w:style w:type="character" w:customStyle="1" w:styleId="TitleChar1">
    <w:name w:val="Title Char1"/>
    <w:basedOn w:val="DefaultParagraphFont"/>
    <w:uiPriority w:val="10"/>
    <w:rsid w:val="00C2600D"/>
    <w:rPr>
      <w:rFonts w:asciiTheme="majorHAnsi" w:eastAsiaTheme="majorEastAsia" w:hAnsiTheme="majorHAnsi" w:cstheme="majorBidi"/>
      <w:spacing w:val="-10"/>
      <w:kern w:val="28"/>
      <w:sz w:val="56"/>
      <w:szCs w:val="56"/>
      <w:lang w:val="en-GB" w:eastAsia="en-GB"/>
    </w:rPr>
  </w:style>
  <w:style w:type="paragraph" w:customStyle="1" w:styleId="Bodytext-small">
    <w:name w:val="Body text - small"/>
    <w:basedOn w:val="Normal"/>
    <w:qFormat/>
    <w:rsid w:val="002A66D0"/>
    <w:pPr>
      <w:widowControl w:val="0"/>
      <w:spacing w:before="120" w:after="120"/>
      <w:jc w:val="both"/>
    </w:pPr>
    <w:rPr>
      <w:bCs/>
      <w:iCs/>
      <w:color w:val="1A2323" w:themeColor="text1"/>
      <w:lang w:eastAsia="de-DE"/>
    </w:rPr>
  </w:style>
  <w:style w:type="paragraph" w:customStyle="1" w:styleId="Title3">
    <w:name w:val="Title 3"/>
    <w:basedOn w:val="Title1"/>
    <w:qFormat/>
    <w:rsid w:val="00E90FA2"/>
    <w:rPr>
      <w:b/>
      <w:color w:val="F3AF1C" w:themeColor="accent3"/>
      <w:sz w:val="24"/>
    </w:rPr>
  </w:style>
  <w:style w:type="paragraph" w:customStyle="1" w:styleId="bullet2">
    <w:name w:val="bullet 2"/>
    <w:basedOn w:val="bullet1"/>
    <w:qFormat/>
    <w:rsid w:val="0093125A"/>
    <w:pPr>
      <w:spacing w:after="60"/>
      <w:ind w:left="754" w:hanging="357"/>
    </w:pPr>
  </w:style>
  <w:style w:type="paragraph" w:customStyle="1" w:styleId="bullet1">
    <w:name w:val="bullet 1"/>
    <w:basedOn w:val="Normal"/>
    <w:qFormat/>
    <w:rsid w:val="00EB5B28"/>
    <w:pPr>
      <w:tabs>
        <w:tab w:val="num" w:pos="720"/>
      </w:tabs>
      <w:spacing w:after="120"/>
      <w:ind w:left="720" w:hanging="720"/>
    </w:pPr>
    <w:rPr>
      <w:bCs/>
      <w:iCs/>
      <w:color w:val="1A2323" w:themeColor="text1"/>
      <w:szCs w:val="28"/>
      <w:lang w:eastAsia="de-DE"/>
    </w:rPr>
  </w:style>
  <w:style w:type="paragraph" w:styleId="TOC1">
    <w:name w:val="toc 1"/>
    <w:basedOn w:val="Normal"/>
    <w:autoRedefine/>
    <w:uiPriority w:val="39"/>
    <w:qFormat/>
    <w:rsid w:val="00F03846"/>
    <w:pPr>
      <w:tabs>
        <w:tab w:val="left" w:pos="851"/>
        <w:tab w:val="right" w:leader="dot" w:pos="9355"/>
      </w:tabs>
      <w:spacing w:before="120" w:after="120"/>
      <w:jc w:val="both"/>
    </w:pPr>
    <w:rPr>
      <w:bCs/>
      <w:caps/>
      <w:lang w:eastAsia="de-DE"/>
    </w:rPr>
  </w:style>
  <w:style w:type="paragraph" w:styleId="TOC2">
    <w:name w:val="toc 2"/>
    <w:basedOn w:val="Normal"/>
    <w:autoRedefine/>
    <w:uiPriority w:val="39"/>
    <w:qFormat/>
    <w:rsid w:val="00ED309F"/>
    <w:pPr>
      <w:tabs>
        <w:tab w:val="left" w:pos="851"/>
        <w:tab w:val="right" w:leader="dot" w:pos="9062"/>
      </w:tabs>
      <w:spacing w:after="120"/>
      <w:jc w:val="both"/>
    </w:pPr>
    <w:rPr>
      <w:color w:val="0B3837" w:themeColor="accent5"/>
      <w:lang w:eastAsia="de-DE"/>
    </w:rPr>
  </w:style>
  <w:style w:type="paragraph" w:styleId="TOC3">
    <w:name w:val="toc 3"/>
    <w:basedOn w:val="Normal"/>
    <w:uiPriority w:val="39"/>
    <w:qFormat/>
    <w:rsid w:val="00ED309F"/>
    <w:pPr>
      <w:tabs>
        <w:tab w:val="left" w:pos="851"/>
        <w:tab w:val="right" w:leader="dot" w:pos="9062"/>
      </w:tabs>
      <w:spacing w:after="120"/>
    </w:pPr>
    <w:rPr>
      <w:color w:val="45A7AA" w:themeColor="accent2"/>
      <w:lang w:val="fr-FR" w:eastAsia="de-DE"/>
    </w:rPr>
  </w:style>
  <w:style w:type="paragraph" w:customStyle="1" w:styleId="bullet3">
    <w:name w:val="bullet 3"/>
    <w:basedOn w:val="bullet1"/>
    <w:qFormat/>
    <w:rsid w:val="002B779B"/>
    <w:rPr>
      <w:color w:val="7D9E9E" w:themeColor="text1" w:themeTint="80"/>
    </w:rPr>
  </w:style>
  <w:style w:type="paragraph" w:customStyle="1" w:styleId="Reference">
    <w:name w:val="Reference"/>
    <w:basedOn w:val="Normal"/>
    <w:qFormat/>
    <w:rsid w:val="00147D89"/>
    <w:pPr>
      <w:widowControl w:val="0"/>
      <w:spacing w:before="120" w:after="120"/>
      <w:jc w:val="both"/>
    </w:pPr>
    <w:rPr>
      <w:color w:val="4A6363" w:themeColor="text1" w:themeTint="BF"/>
      <w:lang w:eastAsia="de-DE"/>
    </w:rPr>
  </w:style>
  <w:style w:type="paragraph" w:customStyle="1" w:styleId="ListofTables">
    <w:name w:val="List of Tables"/>
    <w:basedOn w:val="TableofFigures"/>
    <w:qFormat/>
    <w:rsid w:val="00A11F73"/>
    <w:rPr>
      <w:caps w:val="0"/>
      <w:sz w:val="22"/>
    </w:rPr>
  </w:style>
  <w:style w:type="paragraph" w:styleId="TableofFigures">
    <w:name w:val="table of figures"/>
    <w:basedOn w:val="TOC1"/>
    <w:uiPriority w:val="99"/>
    <w:qFormat/>
    <w:rsid w:val="00610592"/>
    <w:pPr>
      <w:ind w:left="440" w:hanging="440"/>
    </w:pPr>
    <w:rPr>
      <w:sz w:val="21"/>
      <w:szCs w:val="20"/>
    </w:rPr>
  </w:style>
  <w:style w:type="paragraph" w:customStyle="1" w:styleId="GrantAgreement">
    <w:name w:val="Grant Agreement"/>
    <w:basedOn w:val="Bodytext-small"/>
    <w:qFormat/>
    <w:rsid w:val="00431134"/>
    <w:pPr>
      <w:ind w:left="2160"/>
      <w:jc w:val="left"/>
    </w:pPr>
    <w:rPr>
      <w:color w:val="364949" w:themeColor="text1" w:themeTint="D9"/>
    </w:rPr>
  </w:style>
  <w:style w:type="paragraph" w:customStyle="1" w:styleId="Revision1">
    <w:name w:val="Revision1"/>
    <w:basedOn w:val="Bodytext-small"/>
    <w:qFormat/>
    <w:rsid w:val="00962C5D"/>
    <w:pPr>
      <w:jc w:val="center"/>
    </w:pPr>
    <w:rPr>
      <w:color w:val="EF3A4C"/>
    </w:rPr>
  </w:style>
  <w:style w:type="paragraph" w:customStyle="1" w:styleId="DocumentTitle">
    <w:name w:val="Document Title"/>
    <w:qFormat/>
    <w:rsid w:val="00BA6E0E"/>
    <w:rPr>
      <w:rFonts w:asciiTheme="majorHAnsi" w:eastAsiaTheme="majorEastAsia" w:hAnsiTheme="majorHAnsi" w:cs="Open Sans"/>
      <w:b/>
      <w:bCs/>
      <w:caps/>
      <w:color w:val="FFFFFF" w:themeColor="background1"/>
      <w:sz w:val="36"/>
      <w:lang w:eastAsia="de-DE"/>
    </w:rPr>
  </w:style>
  <w:style w:type="paragraph" w:styleId="FootnoteText">
    <w:name w:val="footnote text"/>
    <w:basedOn w:val="Normal"/>
    <w:link w:val="FootnoteTextChar"/>
    <w:uiPriority w:val="99"/>
    <w:unhideWhenUsed/>
    <w:rsid w:val="00656471"/>
    <w:rPr>
      <w:rFonts w:ascii="Mundial Thin" w:hAnsi="Mundial Thin"/>
      <w:sz w:val="16"/>
    </w:rPr>
  </w:style>
  <w:style w:type="table" w:customStyle="1" w:styleId="AgendaTablestyle">
    <w:name w:val="Agenda Table style"/>
    <w:basedOn w:val="TableNormal"/>
    <w:uiPriority w:val="99"/>
    <w:rsid w:val="00F12B03"/>
    <w:pPr>
      <w:jc w:val="center"/>
    </w:pPr>
    <w:rPr>
      <w:rFonts w:eastAsia="Times New Roman"/>
      <w:lang w:val="fr-FR"/>
    </w:rPr>
    <w:tblPr>
      <w:tblStyleRowBandSize w:val="1"/>
      <w:tblStyleColBandSize w:val="1"/>
    </w:tblPr>
    <w:tcPr>
      <w:shd w:val="clear" w:color="auto" w:fill="auto"/>
      <w:vAlign w:val="center"/>
    </w:tcPr>
    <w:tblStylePr w:type="firstRow">
      <w:pPr>
        <w:jc w:val="center"/>
      </w:pPr>
      <w:rPr>
        <w:rFonts w:ascii="Open Sans SemiBold" w:hAnsi="Open Sans SemiBold"/>
        <w:b w:val="0"/>
        <w:i w:val="0"/>
        <w:color w:val="FFFFFF" w:themeColor="background1"/>
        <w:sz w:val="22"/>
      </w:rPr>
      <w:tblPr/>
      <w:tcPr>
        <w:shd w:val="clear" w:color="auto" w:fill="F3AF1C" w:themeFill="accent3"/>
      </w:tcPr>
    </w:tblStylePr>
    <w:tblStylePr w:type="lastRow">
      <w:rPr>
        <w:rFonts w:ascii="Open Sans" w:hAnsi="Open Sans"/>
        <w:b/>
        <w:color w:val="FFFFFF" w:themeColor="background1"/>
      </w:rPr>
      <w:tblPr/>
      <w:tcPr>
        <w:shd w:val="clear" w:color="auto" w:fill="BFBFBF" w:themeFill="background1" w:themeFillShade="BF"/>
      </w:tcPr>
    </w:tblStylePr>
    <w:tblStylePr w:type="firstCol">
      <w:rPr>
        <w:rFonts w:ascii="Open Sans" w:hAnsi="Open Sans"/>
        <w:b/>
      </w:rPr>
    </w:tblStylePr>
    <w:tblStylePr w:type="lastCol">
      <w:rPr>
        <w:rFonts w:ascii="Open Sans" w:hAnsi="Open Sans"/>
        <w:b/>
      </w:rPr>
    </w:tblStylePr>
    <w:tblStylePr w:type="band1Vert">
      <w:rPr>
        <w:rFonts w:ascii="Open Sans" w:hAnsi="Open Sans"/>
      </w:rPr>
    </w:tblStylePr>
    <w:tblStylePr w:type="band2Vert">
      <w:rPr>
        <w:rFonts w:ascii="Open Sans" w:hAnsi="Open Sans"/>
      </w:rPr>
    </w:tblStylePr>
    <w:tblStylePr w:type="band1Horz">
      <w:rPr>
        <w:rFonts w:ascii="Open Sans" w:hAnsi="Open Sans"/>
        <w:b w:val="0"/>
        <w:i w:val="0"/>
        <w:sz w:val="24"/>
      </w:rPr>
      <w:tblPr/>
      <w:tcPr>
        <w:tcBorders>
          <w:insideH w:val="nil"/>
        </w:tcBorders>
        <w:shd w:val="clear" w:color="auto" w:fill="FCEED1" w:themeFill="accent3" w:themeFillTint="33"/>
      </w:tcPr>
    </w:tblStylePr>
    <w:tblStylePr w:type="band2Horz">
      <w:rPr>
        <w:rFonts w:ascii="Open Sans" w:hAnsi="Open Sans"/>
      </w:rPr>
    </w:tblStylePr>
  </w:style>
  <w:style w:type="table" w:styleId="GridTable4-Accent1">
    <w:name w:val="Grid Table 4 Accent 1"/>
    <w:basedOn w:val="TableNormal"/>
    <w:uiPriority w:val="49"/>
    <w:rsid w:val="00C2600D"/>
    <w:tblPr>
      <w:tblStyleRowBandSize w:val="1"/>
      <w:tblStyleColBandSize w:val="1"/>
      <w:tbl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insideH w:val="single" w:sz="4" w:space="0" w:color="8BCED0" w:themeColor="accent1" w:themeTint="99"/>
        <w:insideV w:val="single" w:sz="4" w:space="0" w:color="8BCED0" w:themeColor="accent1" w:themeTint="99"/>
      </w:tblBorders>
    </w:tblPr>
    <w:tblStylePr w:type="firstRow">
      <w:rPr>
        <w:b/>
        <w:bCs/>
        <w:color w:val="FFFFFF" w:themeColor="background1"/>
      </w:rPr>
      <w:tblPr/>
      <w:tcPr>
        <w:tcBorders>
          <w:top w:val="single" w:sz="4" w:space="0" w:color="45A7AA" w:themeColor="accent1"/>
          <w:left w:val="single" w:sz="4" w:space="0" w:color="45A7AA" w:themeColor="accent1"/>
          <w:bottom w:val="single" w:sz="4" w:space="0" w:color="45A7AA" w:themeColor="accent1"/>
          <w:right w:val="single" w:sz="4" w:space="0" w:color="45A7AA" w:themeColor="accent1"/>
          <w:insideH w:val="nil"/>
          <w:insideV w:val="nil"/>
        </w:tcBorders>
        <w:shd w:val="clear" w:color="auto" w:fill="45A7AA" w:themeFill="accent1"/>
      </w:tcPr>
    </w:tblStylePr>
    <w:tblStylePr w:type="lastRow">
      <w:rPr>
        <w:b/>
        <w:bCs/>
      </w:rPr>
      <w:tblPr/>
      <w:tcPr>
        <w:tcBorders>
          <w:top w:val="double" w:sz="4" w:space="0" w:color="45A7AA" w:themeColor="accent1"/>
        </w:tcBorders>
      </w:tcPr>
    </w:tblStylePr>
    <w:tblStylePr w:type="firstCol">
      <w:rPr>
        <w:b/>
        <w:bCs/>
      </w:rPr>
    </w:tblStylePr>
    <w:tblStylePr w:type="lastCol">
      <w:rPr>
        <w:b/>
        <w:bCs/>
      </w:rPr>
    </w:tblStylePr>
    <w:tblStylePr w:type="band1Vert">
      <w:tblPr/>
      <w:tcPr>
        <w:shd w:val="clear" w:color="auto" w:fill="D8EEEF" w:themeFill="accent1" w:themeFillTint="33"/>
      </w:tcPr>
    </w:tblStylePr>
    <w:tblStylePr w:type="band1Horz">
      <w:tblPr/>
      <w:tcPr>
        <w:shd w:val="clear" w:color="auto" w:fill="D8EEEF" w:themeFill="accent1" w:themeFillTint="33"/>
      </w:tcPr>
    </w:tblStylePr>
  </w:style>
  <w:style w:type="character" w:styleId="PageNumber">
    <w:name w:val="page number"/>
    <w:basedOn w:val="DefaultParagraphFont"/>
    <w:uiPriority w:val="99"/>
    <w:semiHidden/>
    <w:unhideWhenUsed/>
    <w:rsid w:val="00E90FA2"/>
    <w:rPr>
      <w:rFonts w:ascii="Arial" w:hAnsi="Arial"/>
      <w:b w:val="0"/>
      <w:i w:val="0"/>
      <w:color w:val="BBC7C4"/>
      <w:sz w:val="16"/>
    </w:rPr>
  </w:style>
  <w:style w:type="paragraph" w:styleId="Subtitle">
    <w:name w:val="Subtitle"/>
    <w:basedOn w:val="Normal"/>
    <w:next w:val="Normal"/>
    <w:link w:val="SubtitleChar"/>
    <w:uiPriority w:val="11"/>
    <w:qFormat/>
    <w:pPr>
      <w:spacing w:after="360"/>
      <w:jc w:val="center"/>
    </w:pPr>
    <w:rPr>
      <w:smallCaps/>
      <w:color w:val="4A6363"/>
    </w:rPr>
  </w:style>
  <w:style w:type="character" w:customStyle="1" w:styleId="SubtitleChar">
    <w:name w:val="Subtitle Char"/>
    <w:basedOn w:val="DefaultParagraphFont"/>
    <w:link w:val="Subtitle"/>
    <w:uiPriority w:val="11"/>
    <w:rsid w:val="005E42C1"/>
    <w:rPr>
      <w:rFonts w:ascii="Montserrat" w:eastAsiaTheme="minorEastAsia" w:hAnsi="Montserrat" w:cs="Times New Roman (Body CS)"/>
      <w:caps/>
      <w:color w:val="4A6363" w:themeColor="text1" w:themeTint="BF"/>
      <w:spacing w:val="15"/>
      <w:sz w:val="36"/>
      <w:szCs w:val="22"/>
      <w:lang w:val="en-GB" w:eastAsia="en-GB"/>
    </w:rPr>
  </w:style>
  <w:style w:type="character" w:customStyle="1" w:styleId="FootnoteTextChar">
    <w:name w:val="Footnote Text Char"/>
    <w:basedOn w:val="DefaultParagraphFont"/>
    <w:link w:val="FootnoteText"/>
    <w:uiPriority w:val="99"/>
    <w:rsid w:val="00656471"/>
    <w:rPr>
      <w:rFonts w:ascii="Mundial Thin" w:hAnsi="Mundial Thin"/>
      <w:sz w:val="16"/>
    </w:rPr>
  </w:style>
  <w:style w:type="character" w:styleId="FootnoteReference">
    <w:name w:val="footnote reference"/>
    <w:basedOn w:val="DefaultParagraphFont"/>
    <w:uiPriority w:val="99"/>
    <w:semiHidden/>
    <w:unhideWhenUsed/>
    <w:rsid w:val="005875BE"/>
    <w:rPr>
      <w:vertAlign w:val="superscript"/>
    </w:rPr>
  </w:style>
  <w:style w:type="character" w:customStyle="1" w:styleId="TitleChar">
    <w:name w:val="Title Char"/>
    <w:basedOn w:val="DefaultParagraphFont"/>
    <w:link w:val="Title"/>
    <w:qFormat/>
    <w:rsid w:val="00425252"/>
    <w:rPr>
      <w:rFonts w:asciiTheme="majorHAnsi" w:eastAsiaTheme="majorEastAsia" w:hAnsiTheme="majorHAnsi" w:cstheme="majorBidi"/>
      <w:bCs/>
      <w:iCs/>
      <w:caps/>
      <w:color w:val="0B3837" w:themeColor="accent6"/>
      <w:sz w:val="28"/>
      <w:szCs w:val="56"/>
      <w:lang w:val="en-GB" w:eastAsia="de-DE"/>
    </w:rPr>
  </w:style>
  <w:style w:type="character" w:customStyle="1" w:styleId="TitleChar2">
    <w:name w:val="Title Char2"/>
    <w:basedOn w:val="DefaultParagraphFont"/>
    <w:rsid w:val="0053462E"/>
    <w:rPr>
      <w:rFonts w:asciiTheme="majorHAnsi" w:eastAsiaTheme="majorEastAsia" w:hAnsiTheme="majorHAnsi" w:cstheme="majorBidi"/>
      <w:spacing w:val="-10"/>
      <w:kern w:val="28"/>
      <w:sz w:val="56"/>
      <w:szCs w:val="56"/>
      <w:lang w:val="en-GB" w:eastAsia="en-GB"/>
    </w:rPr>
  </w:style>
  <w:style w:type="table" w:styleId="TableGrid">
    <w:name w:val="Table Grid"/>
    <w:basedOn w:val="TableNormal"/>
    <w:uiPriority w:val="39"/>
    <w:rsid w:val="00CA3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JECTTitle">
    <w:name w:val="PROJECT Title"/>
    <w:basedOn w:val="Normal"/>
    <w:qFormat/>
    <w:rsid w:val="00147D89"/>
    <w:pPr>
      <w:pBdr>
        <w:top w:val="dotted" w:sz="4" w:space="8" w:color="BBC7C4"/>
        <w:bottom w:val="dotted" w:sz="4" w:space="8" w:color="BBC7C4"/>
      </w:pBdr>
      <w:jc w:val="center"/>
    </w:pPr>
    <w:rPr>
      <w:rFonts w:asciiTheme="majorHAnsi" w:eastAsia="SimSun" w:hAnsiTheme="majorHAnsi"/>
      <w:caps/>
      <w:sz w:val="48"/>
      <w:lang w:eastAsia="zh-CN"/>
    </w:rPr>
  </w:style>
  <w:style w:type="table" w:styleId="GridTable1Light-Accent1">
    <w:name w:val="Grid Table 1 Light Accent 1"/>
    <w:basedOn w:val="TableNormal"/>
    <w:uiPriority w:val="46"/>
    <w:rsid w:val="007848FC"/>
    <w:tblPr>
      <w:tblStyleRowBandSize w:val="1"/>
      <w:tblStyleColBandSize w:val="1"/>
      <w:tblBorders>
        <w:top w:val="single" w:sz="4" w:space="0" w:color="B1DEDF" w:themeColor="accent1" w:themeTint="66"/>
        <w:left w:val="single" w:sz="4" w:space="0" w:color="B1DEDF" w:themeColor="accent1" w:themeTint="66"/>
        <w:bottom w:val="single" w:sz="4" w:space="0" w:color="B1DEDF" w:themeColor="accent1" w:themeTint="66"/>
        <w:right w:val="single" w:sz="4" w:space="0" w:color="B1DEDF" w:themeColor="accent1" w:themeTint="66"/>
        <w:insideH w:val="single" w:sz="4" w:space="0" w:color="B1DEDF" w:themeColor="accent1" w:themeTint="66"/>
        <w:insideV w:val="single" w:sz="4" w:space="0" w:color="B1DEDF" w:themeColor="accent1" w:themeTint="66"/>
      </w:tblBorders>
    </w:tblPr>
    <w:tblStylePr w:type="firstRow">
      <w:rPr>
        <w:b/>
        <w:bCs/>
      </w:rPr>
      <w:tblPr/>
      <w:tcPr>
        <w:tcBorders>
          <w:bottom w:val="single" w:sz="12" w:space="0" w:color="8BCED0" w:themeColor="accent1" w:themeTint="99"/>
        </w:tcBorders>
      </w:tcPr>
    </w:tblStylePr>
    <w:tblStylePr w:type="lastRow">
      <w:rPr>
        <w:b/>
        <w:bCs/>
      </w:rPr>
      <w:tblPr/>
      <w:tcPr>
        <w:tcBorders>
          <w:top w:val="double" w:sz="2" w:space="0" w:color="8BCED0"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656471"/>
    <w:rPr>
      <w:rFonts w:ascii="Mundial Thin" w:hAnsi="Mundial Thin"/>
    </w:rPr>
    <w:tblPr>
      <w:tblStyleRowBandSize w:val="1"/>
      <w:tblStyleColBandSize w:val="1"/>
      <w:tblBorders>
        <w:top w:val="single" w:sz="4" w:space="0" w:color="7D9E9E" w:themeColor="text1" w:themeTint="80"/>
        <w:bottom w:val="single" w:sz="4" w:space="0" w:color="7D9E9E" w:themeColor="text1" w:themeTint="80"/>
      </w:tblBorders>
    </w:tblPr>
    <w:tblStylePr w:type="firstRow">
      <w:rPr>
        <w:rFonts w:ascii="Open Sans SemiBold" w:hAnsi="Open Sans SemiBold"/>
        <w:b/>
        <w:bCs/>
      </w:rPr>
      <w:tblPr/>
      <w:tcPr>
        <w:shd w:val="clear" w:color="auto" w:fill="D9D9D9" w:themeFill="background1" w:themeFillShade="D9"/>
      </w:tcPr>
    </w:tblStylePr>
    <w:tblStylePr w:type="lastRow">
      <w:rPr>
        <w:b/>
        <w:bCs/>
      </w:rPr>
      <w:tblPr/>
      <w:tcPr>
        <w:tcBorders>
          <w:top w:val="single" w:sz="4" w:space="0" w:color="7D9E9E" w:themeColor="text1" w:themeTint="80"/>
        </w:tcBorders>
      </w:tcPr>
    </w:tblStylePr>
    <w:tblStylePr w:type="firstCol">
      <w:rPr>
        <w:b/>
        <w:bCs/>
      </w:rPr>
    </w:tblStylePr>
    <w:tblStylePr w:type="lastCol">
      <w:rPr>
        <w:b/>
        <w:bCs/>
      </w:rPr>
    </w:tblStylePr>
    <w:tblStylePr w:type="band1Vert">
      <w:tblPr/>
      <w:tcPr>
        <w:tcBorders>
          <w:left w:val="single" w:sz="4" w:space="0" w:color="7D9E9E" w:themeColor="text1" w:themeTint="80"/>
          <w:right w:val="single" w:sz="4" w:space="0" w:color="7D9E9E" w:themeColor="text1" w:themeTint="80"/>
        </w:tcBorders>
      </w:tcPr>
    </w:tblStylePr>
    <w:tblStylePr w:type="band2Vert">
      <w:tblPr/>
      <w:tcPr>
        <w:tcBorders>
          <w:left w:val="single" w:sz="4" w:space="0" w:color="7D9E9E" w:themeColor="text1" w:themeTint="80"/>
          <w:right w:val="single" w:sz="4" w:space="0" w:color="7D9E9E" w:themeColor="text1" w:themeTint="80"/>
        </w:tcBorders>
      </w:tcPr>
    </w:tblStylePr>
    <w:tblStylePr w:type="band1Horz">
      <w:tblPr/>
      <w:tcPr>
        <w:tcBorders>
          <w:top w:val="single" w:sz="4" w:space="0" w:color="7D9E9E" w:themeColor="text1" w:themeTint="80"/>
          <w:bottom w:val="single" w:sz="4" w:space="0" w:color="7D9E9E" w:themeColor="text1" w:themeTint="80"/>
        </w:tcBorders>
      </w:tcPr>
    </w:tblStylePr>
  </w:style>
  <w:style w:type="paragraph" w:customStyle="1" w:styleId="Tableheaderfooter-white">
    <w:name w:val="Table header/footer - white"/>
    <w:basedOn w:val="BodyText"/>
    <w:qFormat/>
    <w:rsid w:val="00656471"/>
    <w:pPr>
      <w:jc w:val="center"/>
    </w:pPr>
    <w:rPr>
      <w:rFonts w:asciiTheme="majorHAnsi" w:hAnsiTheme="majorHAnsi"/>
      <w:bCs/>
      <w:color w:val="FFFFFF" w:themeColor="background1"/>
    </w:rPr>
  </w:style>
  <w:style w:type="paragraph" w:customStyle="1" w:styleId="Tableheaderfooter-grey">
    <w:name w:val="Table header/footer - grey"/>
    <w:basedOn w:val="Normal"/>
    <w:qFormat/>
    <w:rsid w:val="00656471"/>
    <w:pPr>
      <w:spacing w:before="160" w:after="160"/>
      <w:jc w:val="center"/>
    </w:pPr>
    <w:rPr>
      <w:rFonts w:asciiTheme="majorHAnsi" w:hAnsiTheme="majorHAnsi"/>
      <w:bCs/>
    </w:rPr>
  </w:style>
  <w:style w:type="paragraph" w:customStyle="1" w:styleId="Table-content">
    <w:name w:val="Table - content"/>
    <w:basedOn w:val="BodyText"/>
    <w:qFormat/>
    <w:rsid w:val="004B0501"/>
    <w:pPr>
      <w:jc w:val="center"/>
    </w:pPr>
  </w:style>
  <w:style w:type="paragraph" w:styleId="NoSpacing">
    <w:name w:val="No Spacing"/>
    <w:link w:val="NoSpacingChar"/>
    <w:uiPriority w:val="1"/>
    <w:qFormat/>
    <w:rsid w:val="002D5E94"/>
    <w:rPr>
      <w:rFonts w:eastAsiaTheme="minorEastAsia"/>
      <w:lang w:eastAsia="zh-CN"/>
    </w:rPr>
  </w:style>
  <w:style w:type="character" w:customStyle="1" w:styleId="NoSpacingChar">
    <w:name w:val="No Spacing Char"/>
    <w:basedOn w:val="DefaultParagraphFont"/>
    <w:link w:val="NoSpacing"/>
    <w:uiPriority w:val="1"/>
    <w:rsid w:val="002D5E94"/>
    <w:rPr>
      <w:rFonts w:eastAsiaTheme="minorEastAsia"/>
      <w:sz w:val="22"/>
      <w:szCs w:val="22"/>
      <w:lang w:eastAsia="zh-CN"/>
    </w:rPr>
  </w:style>
  <w:style w:type="paragraph" w:customStyle="1" w:styleId="Documentcoverdate">
    <w:name w:val="Document cover date"/>
    <w:basedOn w:val="Normal"/>
    <w:qFormat/>
    <w:rsid w:val="00B743F0"/>
    <w:pPr>
      <w:spacing w:before="240" w:after="240"/>
    </w:pPr>
    <w:rPr>
      <w:rFonts w:asciiTheme="majorHAnsi" w:hAnsiTheme="majorHAnsi"/>
      <w:color w:val="FFFFFF" w:themeColor="background1"/>
      <w:sz w:val="24"/>
    </w:rPr>
  </w:style>
  <w:style w:type="paragraph" w:styleId="IntenseQuote">
    <w:name w:val="Intense Quote"/>
    <w:basedOn w:val="Normal"/>
    <w:next w:val="Normal"/>
    <w:link w:val="IntenseQuoteChar"/>
    <w:uiPriority w:val="30"/>
    <w:qFormat/>
    <w:rsid w:val="00962C5D"/>
    <w:pPr>
      <w:pBdr>
        <w:top w:val="single" w:sz="4" w:space="10" w:color="45A7AA" w:themeColor="accent1"/>
        <w:bottom w:val="single" w:sz="4" w:space="10" w:color="45A7AA" w:themeColor="accent1"/>
      </w:pBdr>
      <w:spacing w:before="360" w:after="360"/>
      <w:ind w:left="862" w:right="862"/>
      <w:jc w:val="center"/>
    </w:pPr>
    <w:rPr>
      <w:i/>
      <w:iCs/>
      <w:color w:val="EF3A4C"/>
    </w:rPr>
  </w:style>
  <w:style w:type="character" w:customStyle="1" w:styleId="IntenseQuoteChar">
    <w:name w:val="Intense Quote Char"/>
    <w:basedOn w:val="DefaultParagraphFont"/>
    <w:link w:val="IntenseQuote"/>
    <w:uiPriority w:val="30"/>
    <w:rsid w:val="00962C5D"/>
    <w:rPr>
      <w:rFonts w:ascii="Montserrat" w:eastAsia="Times New Roman" w:hAnsi="Montserrat" w:cs="Times New Roman"/>
      <w:i/>
      <w:iCs/>
      <w:color w:val="EF3A4C"/>
      <w:sz w:val="18"/>
      <w:lang w:val="en-GB" w:eastAsia="en-GB"/>
    </w:rPr>
  </w:style>
  <w:style w:type="character" w:styleId="IntenseEmphasis">
    <w:name w:val="Intense Emphasis"/>
    <w:basedOn w:val="DefaultParagraphFont"/>
    <w:uiPriority w:val="21"/>
    <w:qFormat/>
    <w:rsid w:val="00962C5D"/>
    <w:rPr>
      <w:i/>
      <w:iCs/>
      <w:color w:val="EF3A4C"/>
    </w:rPr>
  </w:style>
  <w:style w:type="character" w:styleId="IntenseReference">
    <w:name w:val="Intense Reference"/>
    <w:basedOn w:val="DefaultParagraphFont"/>
    <w:uiPriority w:val="32"/>
    <w:qFormat/>
    <w:rsid w:val="00962C5D"/>
    <w:rPr>
      <w:b/>
      <w:bCs/>
      <w:smallCaps/>
      <w:color w:val="EF3A4C"/>
      <w:spacing w:val="5"/>
    </w:rPr>
  </w:style>
  <w:style w:type="table" w:customStyle="1" w:styleId="introtable">
    <w:name w:val="intro table"/>
    <w:basedOn w:val="TableNormal"/>
    <w:uiPriority w:val="99"/>
    <w:rsid w:val="00425252"/>
    <w:tblPr>
      <w:tblBorders>
        <w:bottom w:val="dotted" w:sz="4" w:space="0" w:color="1A2323" w:themeColor="text2"/>
        <w:insideH w:val="dotted" w:sz="4" w:space="0" w:color="1A2323" w:themeColor="text2"/>
      </w:tblBorders>
    </w:tblPr>
  </w:style>
  <w:style w:type="paragraph" w:styleId="TOCHeading">
    <w:name w:val="TOC Heading"/>
    <w:basedOn w:val="Heading1"/>
    <w:next w:val="Normal"/>
    <w:uiPriority w:val="39"/>
    <w:unhideWhenUsed/>
    <w:qFormat/>
    <w:rsid w:val="001C00A9"/>
    <w:pPr>
      <w:keepNext/>
      <w:keepLines/>
      <w:numPr>
        <w:numId w:val="0"/>
      </w:numPr>
      <w:pBdr>
        <w:top w:val="none" w:sz="0" w:space="0" w:color="auto"/>
        <w:bottom w:val="none" w:sz="0" w:space="0" w:color="auto"/>
      </w:pBdr>
      <w:spacing w:before="240" w:after="0" w:line="259" w:lineRule="auto"/>
      <w:contextualSpacing w:val="0"/>
      <w:outlineLvl w:val="9"/>
    </w:pPr>
    <w:rPr>
      <w:rFonts w:cstheme="majorBidi"/>
      <w:caps w:val="0"/>
      <w:color w:val="337C7F" w:themeColor="accent1" w:themeShade="BF"/>
      <w:sz w:val="32"/>
      <w:szCs w:val="32"/>
      <w:lang w:val="en-US" w:eastAsia="en-US"/>
    </w:rPr>
  </w:style>
  <w:style w:type="character" w:styleId="Hyperlink">
    <w:name w:val="Hyperlink"/>
    <w:basedOn w:val="DefaultParagraphFont"/>
    <w:uiPriority w:val="99"/>
    <w:unhideWhenUsed/>
    <w:rsid w:val="001C00A9"/>
    <w:rPr>
      <w:color w:val="45A7AA" w:themeColor="hyperlink"/>
      <w:u w:val="single"/>
    </w:rPr>
  </w:style>
  <w:style w:type="table" w:customStyle="1" w:styleId="Style1">
    <w:name w:val="Style1"/>
    <w:basedOn w:val="TableNormal"/>
    <w:uiPriority w:val="99"/>
    <w:rsid w:val="00DE5FDC"/>
    <w:tblPr>
      <w:tblStyleRowBandSize w:val="1"/>
    </w:tblPr>
    <w:tblStylePr w:type="firstRow">
      <w:rPr>
        <w:rFonts w:ascii="Open Sans SemiBold" w:hAnsi="Open Sans SemiBold"/>
        <w:color w:val="auto"/>
      </w:rPr>
      <w:tblPr/>
      <w:tcPr>
        <w:shd w:val="clear" w:color="auto" w:fill="FFFFFF" w:themeFill="background2"/>
      </w:tcPr>
    </w:tblStylePr>
    <w:tblStylePr w:type="lastRow">
      <w:tblPr/>
      <w:tcPr>
        <w:tcBorders>
          <w:insideV w:val="nil"/>
        </w:tcBorders>
        <w:shd w:val="clear" w:color="auto" w:fill="45A7AA" w:themeFill="accent2"/>
      </w:tcPr>
    </w:tblStylePr>
    <w:tblStylePr w:type="band2Horz">
      <w:tblPr/>
      <w:tcPr>
        <w:shd w:val="clear" w:color="auto" w:fill="FCEED1" w:themeFill="accent3" w:themeFillTint="33"/>
      </w:tcPr>
    </w:tblStylePr>
  </w:style>
  <w:style w:type="character" w:styleId="UnresolvedMention">
    <w:name w:val="Unresolved Mention"/>
    <w:basedOn w:val="DefaultParagraphFont"/>
    <w:uiPriority w:val="99"/>
    <w:semiHidden/>
    <w:unhideWhenUsed/>
    <w:rsid w:val="00ED309F"/>
    <w:rPr>
      <w:color w:val="605E5C"/>
      <w:shd w:val="clear" w:color="auto" w:fill="E1DFDD"/>
    </w:rPr>
  </w:style>
  <w:style w:type="paragraph" w:styleId="ListParagraph">
    <w:name w:val="List Paragraph"/>
    <w:basedOn w:val="Normal"/>
    <w:uiPriority w:val="34"/>
    <w:qFormat/>
    <w:rsid w:val="00ED309F"/>
    <w:pPr>
      <w:ind w:left="720"/>
      <w:contextualSpacing/>
    </w:pPr>
  </w:style>
  <w:style w:type="character" w:styleId="BookTitle">
    <w:name w:val="Book Title"/>
    <w:basedOn w:val="DefaultParagraphFont"/>
    <w:uiPriority w:val="33"/>
    <w:qFormat/>
    <w:rsid w:val="00ED309F"/>
    <w:rPr>
      <w:b/>
      <w:bCs/>
      <w:i/>
      <w:iCs/>
      <w:spacing w:val="5"/>
    </w:rPr>
  </w:style>
  <w:style w:type="character" w:styleId="SubtleReference">
    <w:name w:val="Subtle Reference"/>
    <w:basedOn w:val="DefaultParagraphFont"/>
    <w:uiPriority w:val="31"/>
    <w:qFormat/>
    <w:rsid w:val="00ED309F"/>
    <w:rPr>
      <w:rFonts w:asciiTheme="minorHAnsi" w:hAnsiTheme="minorHAnsi"/>
      <w:smallCaps/>
      <w:color w:val="5D7D7D" w:themeColor="text1" w:themeTint="A5"/>
    </w:rPr>
  </w:style>
  <w:style w:type="paragraph" w:customStyle="1" w:styleId="Default">
    <w:name w:val="Default"/>
    <w:rsid w:val="00B933AA"/>
    <w:pPr>
      <w:autoSpaceDE w:val="0"/>
      <w:autoSpaceDN w:val="0"/>
      <w:adjustRightInd w:val="0"/>
    </w:pPr>
    <w:rPr>
      <w:rFonts w:ascii="Calibri" w:hAnsi="Calibri" w:cs="Calibri"/>
      <w:color w:val="000000"/>
      <w:sz w:val="24"/>
      <w:szCs w:val="24"/>
    </w:rPr>
  </w:style>
  <w:style w:type="paragraph" w:customStyle="1" w:styleId="Fundingdisclaimer">
    <w:name w:val="Funding disclaimer"/>
    <w:basedOn w:val="Normal"/>
    <w:qFormat/>
    <w:rsid w:val="00EB5B28"/>
    <w:pPr>
      <w:spacing w:line="276" w:lineRule="auto"/>
    </w:pPr>
    <w:rPr>
      <w:color w:val="131A1A" w:themeColor="text1" w:themeShade="BF"/>
      <w:sz w:val="15"/>
      <w:szCs w:val="15"/>
      <w:lang w:val="en-US"/>
    </w:rPr>
  </w:style>
  <w:style w:type="table" w:customStyle="1" w:styleId="a">
    <w:basedOn w:val="TableNormal"/>
    <w:pPr>
      <w:spacing w:before="40" w:after="40"/>
      <w:jc w:val="center"/>
    </w:pPr>
    <w:rPr>
      <w:smallCaps/>
      <w:color w:val="000000"/>
      <w:sz w:val="20"/>
      <w:szCs w:val="20"/>
    </w:rPr>
    <w:tblPr>
      <w:tblStyleRowBandSize w:val="1"/>
      <w:tblStyleColBandSize w:val="1"/>
      <w:tblCellMar>
        <w:left w:w="115" w:type="dxa"/>
        <w:right w:w="115" w:type="dxa"/>
      </w:tblCellMar>
    </w:tblPr>
    <w:tcPr>
      <w:shd w:val="clear" w:color="auto" w:fill="auto"/>
      <w:vAlign w:val="center"/>
    </w:tcPr>
    <w:tblStylePr w:type="firstRow">
      <w:pPr>
        <w:jc w:val="center"/>
      </w:pPr>
      <w:rPr>
        <w:rFonts w:ascii="Arial" w:eastAsia="Arial" w:hAnsi="Arial" w:cs="Arial"/>
        <w:b w:val="0"/>
        <w:i w:val="0"/>
        <w:color w:val="FFFFFF"/>
        <w:sz w:val="22"/>
        <w:szCs w:val="22"/>
      </w:rPr>
      <w:tblPr/>
      <w:tcPr>
        <w:shd w:val="clear" w:color="auto" w:fill="45A7AA"/>
      </w:tcPr>
    </w:tblStylePr>
    <w:tblStylePr w:type="lastRow">
      <w:rPr>
        <w:rFonts w:ascii="Arial" w:eastAsia="Arial" w:hAnsi="Arial" w:cs="Arial"/>
      </w:rPr>
      <w:tblPr/>
      <w:tcPr>
        <w:shd w:val="clear" w:color="auto" w:fill="45A7AA"/>
      </w:tcPr>
    </w:tblStylePr>
    <w:tblStylePr w:type="firstCol">
      <w:rPr>
        <w:rFonts w:ascii="Arial" w:eastAsia="Arial" w:hAnsi="Arial" w:cs="Arial"/>
        <w:b/>
      </w:rPr>
    </w:tblStylePr>
    <w:tblStylePr w:type="lastCol">
      <w:rPr>
        <w:rFonts w:ascii="Arial Nova" w:eastAsia="Arial Nova" w:hAnsi="Arial Nova" w:cs="Arial Nova"/>
        <w:b/>
      </w:rPr>
    </w:tblStylePr>
    <w:tblStylePr w:type="band1Vert">
      <w:rPr>
        <w:rFonts w:ascii="Arial Nova" w:eastAsia="Arial Nova" w:hAnsi="Arial Nova" w:cs="Arial Nova"/>
      </w:rPr>
    </w:tblStylePr>
    <w:tblStylePr w:type="band2Vert">
      <w:rPr>
        <w:rFonts w:ascii="Open Sans" w:eastAsia="Open Sans" w:hAnsi="Open Sans" w:cs="Open Sans"/>
      </w:rPr>
    </w:tblStylePr>
    <w:tblStylePr w:type="band1Horz">
      <w:rPr>
        <w:rFonts w:ascii="Arial" w:eastAsia="Arial" w:hAnsi="Arial" w:cs="Arial"/>
        <w:b w:val="0"/>
        <w:i w:val="0"/>
        <w:sz w:val="24"/>
        <w:szCs w:val="24"/>
      </w:rPr>
      <w:tblPr/>
      <w:tcPr>
        <w:shd w:val="clear" w:color="auto" w:fill="D8EEEF"/>
      </w:tcPr>
    </w:tblStylePr>
    <w:tblStylePr w:type="band2Horz">
      <w:rPr>
        <w:rFonts w:ascii="Arial" w:eastAsia="Arial" w:hAnsi="Arial" w:cs="Arial"/>
      </w:rPr>
    </w:tblStylePr>
  </w:style>
  <w:style w:type="table" w:customStyle="1" w:styleId="a0">
    <w:basedOn w:val="TableNormal"/>
    <w:pPr>
      <w:jc w:val="center"/>
    </w:pPr>
    <w:rPr>
      <w:rFonts w:ascii="Mundial Thin" w:eastAsia="Mundial Thin" w:hAnsi="Mundial Thin" w:cs="Mundial Thin"/>
    </w:rPr>
    <w:tblPr>
      <w:tblStyleRowBandSize w:val="1"/>
      <w:tblStyleColBandSize w:val="1"/>
      <w:tblCellMar>
        <w:left w:w="115" w:type="dxa"/>
        <w:right w:w="115" w:type="dxa"/>
      </w:tblCellMar>
    </w:tblPr>
    <w:tcPr>
      <w:shd w:val="clear" w:color="auto" w:fill="auto"/>
      <w:vAlign w:val="center"/>
    </w:tcPr>
  </w:style>
  <w:style w:type="table" w:customStyle="1" w:styleId="a1">
    <w:basedOn w:val="TableNormal"/>
    <w:pPr>
      <w:spacing w:before="40" w:after="40"/>
      <w:jc w:val="center"/>
    </w:pPr>
    <w:rPr>
      <w:smallCaps/>
      <w:color w:val="000000"/>
      <w:sz w:val="20"/>
      <w:szCs w:val="20"/>
    </w:rPr>
    <w:tblPr>
      <w:tblStyleRowBandSize w:val="1"/>
      <w:tblStyleColBandSize w:val="1"/>
      <w:tblCellMar>
        <w:left w:w="115" w:type="dxa"/>
        <w:right w:w="115" w:type="dxa"/>
      </w:tblCellMar>
    </w:tblPr>
    <w:tcPr>
      <w:shd w:val="clear" w:color="auto" w:fill="auto"/>
      <w:vAlign w:val="center"/>
    </w:tcPr>
    <w:tblStylePr w:type="firstRow">
      <w:pPr>
        <w:jc w:val="center"/>
      </w:pPr>
      <w:rPr>
        <w:rFonts w:ascii="Arial" w:eastAsia="Arial" w:hAnsi="Arial" w:cs="Arial"/>
        <w:b w:val="0"/>
        <w:i w:val="0"/>
        <w:color w:val="FFFFFF"/>
        <w:sz w:val="22"/>
        <w:szCs w:val="22"/>
      </w:rPr>
      <w:tblPr/>
      <w:tcPr>
        <w:shd w:val="clear" w:color="auto" w:fill="45A7AA"/>
      </w:tcPr>
    </w:tblStylePr>
    <w:tblStylePr w:type="lastRow">
      <w:rPr>
        <w:rFonts w:ascii="Arial" w:eastAsia="Arial" w:hAnsi="Arial" w:cs="Arial"/>
      </w:rPr>
      <w:tblPr/>
      <w:tcPr>
        <w:shd w:val="clear" w:color="auto" w:fill="45A7AA"/>
      </w:tcPr>
    </w:tblStylePr>
    <w:tblStylePr w:type="firstCol">
      <w:rPr>
        <w:rFonts w:ascii="Arial" w:eastAsia="Arial" w:hAnsi="Arial" w:cs="Arial"/>
        <w:b/>
      </w:rPr>
    </w:tblStylePr>
    <w:tblStylePr w:type="lastCol">
      <w:rPr>
        <w:rFonts w:ascii="Arial Nova" w:eastAsia="Arial Nova" w:hAnsi="Arial Nova" w:cs="Arial Nova"/>
        <w:b/>
      </w:rPr>
    </w:tblStylePr>
    <w:tblStylePr w:type="band1Vert">
      <w:rPr>
        <w:rFonts w:ascii="Arial Nova" w:eastAsia="Arial Nova" w:hAnsi="Arial Nova" w:cs="Arial Nova"/>
      </w:rPr>
    </w:tblStylePr>
    <w:tblStylePr w:type="band2Vert">
      <w:rPr>
        <w:rFonts w:ascii="Open Sans" w:eastAsia="Open Sans" w:hAnsi="Open Sans" w:cs="Open Sans"/>
      </w:rPr>
    </w:tblStylePr>
    <w:tblStylePr w:type="band1Horz">
      <w:rPr>
        <w:rFonts w:ascii="Arial" w:eastAsia="Arial" w:hAnsi="Arial" w:cs="Arial"/>
        <w:b w:val="0"/>
        <w:i w:val="0"/>
        <w:sz w:val="24"/>
        <w:szCs w:val="24"/>
      </w:rPr>
      <w:tblPr/>
      <w:tcPr>
        <w:shd w:val="clear" w:color="auto" w:fill="D8EEEF"/>
      </w:tcPr>
    </w:tblStylePr>
    <w:tblStylePr w:type="band2Horz">
      <w:rPr>
        <w:rFonts w:ascii="Arial" w:eastAsia="Arial" w:hAnsi="Arial" w:cs="Arial"/>
      </w:rPr>
    </w:tblStylePr>
  </w:style>
  <w:style w:type="table" w:customStyle="1" w:styleId="a2">
    <w:basedOn w:val="TableNormal"/>
    <w:pPr>
      <w:spacing w:before="40" w:after="40"/>
      <w:jc w:val="center"/>
    </w:pPr>
    <w:rPr>
      <w:rFonts w:ascii="Mundial Thin" w:eastAsia="Mundial Thin" w:hAnsi="Mundial Thin" w:cs="Mundial Thin"/>
      <w:smallCaps/>
      <w:color w:val="000000"/>
      <w:sz w:val="20"/>
      <w:szCs w:val="20"/>
    </w:rPr>
    <w:tblPr>
      <w:tblStyleRowBandSize w:val="1"/>
      <w:tblStyleColBandSize w:val="1"/>
      <w:tblCellMar>
        <w:left w:w="115" w:type="dxa"/>
        <w:right w:w="115" w:type="dxa"/>
      </w:tblCellMar>
    </w:tblPr>
    <w:tcPr>
      <w:shd w:val="clear" w:color="auto" w:fill="auto"/>
      <w:vAlign w:val="center"/>
    </w:tcPr>
    <w:tblStylePr w:type="firstRow">
      <w:pPr>
        <w:jc w:val="center"/>
      </w:pPr>
      <w:rPr>
        <w:rFonts w:ascii="Arial" w:eastAsia="Arial" w:hAnsi="Arial" w:cs="Arial"/>
        <w:b w:val="0"/>
        <w:i w:val="0"/>
        <w:color w:val="FFFFFF"/>
        <w:sz w:val="22"/>
        <w:szCs w:val="22"/>
      </w:rPr>
      <w:tblPr/>
      <w:tcPr>
        <w:shd w:val="clear" w:color="auto" w:fill="45A7AA"/>
      </w:tcPr>
    </w:tblStylePr>
    <w:tblStylePr w:type="lastRow">
      <w:rPr>
        <w:rFonts w:ascii="Arial" w:eastAsia="Arial" w:hAnsi="Arial" w:cs="Arial"/>
      </w:rPr>
      <w:tblPr/>
      <w:tcPr>
        <w:shd w:val="clear" w:color="auto" w:fill="45A7AA"/>
      </w:tcPr>
    </w:tblStylePr>
    <w:tblStylePr w:type="firstCol">
      <w:rPr>
        <w:rFonts w:ascii="Arial" w:eastAsia="Arial" w:hAnsi="Arial" w:cs="Arial"/>
        <w:b/>
      </w:rPr>
    </w:tblStylePr>
    <w:tblStylePr w:type="lastCol">
      <w:rPr>
        <w:rFonts w:ascii="Arial" w:eastAsia="Arial" w:hAnsi="Arial" w:cs="Arial"/>
        <w:b/>
      </w:rPr>
    </w:tblStylePr>
    <w:tblStylePr w:type="band1Vert">
      <w:rPr>
        <w:rFonts w:ascii="Arial" w:eastAsia="Arial" w:hAnsi="Arial" w:cs="Arial"/>
      </w:rPr>
    </w:tblStylePr>
    <w:tblStylePr w:type="band2Vert">
      <w:rPr>
        <w:rFonts w:ascii="Open Sans" w:eastAsia="Open Sans" w:hAnsi="Open Sans" w:cs="Open Sans"/>
      </w:rPr>
    </w:tblStylePr>
    <w:tblStylePr w:type="band1Horz">
      <w:rPr>
        <w:rFonts w:ascii="Arial" w:eastAsia="Arial" w:hAnsi="Arial" w:cs="Arial"/>
        <w:b w:val="0"/>
        <w:i w:val="0"/>
        <w:sz w:val="24"/>
        <w:szCs w:val="24"/>
      </w:rPr>
      <w:tblPr/>
      <w:tcPr>
        <w:shd w:val="clear" w:color="auto" w:fill="D8EEEF"/>
      </w:tcPr>
    </w:tblStylePr>
    <w:tblStylePr w:type="band2Horz">
      <w:rPr>
        <w:rFonts w:ascii="Arial" w:eastAsia="Arial" w:hAnsi="Arial" w:cs="Arial"/>
      </w:rPr>
    </w:tblStylePr>
  </w:style>
  <w:style w:type="table" w:customStyle="1" w:styleId="a3">
    <w:basedOn w:val="TableNormal"/>
    <w:pPr>
      <w:jc w:val="center"/>
    </w:pPr>
    <w:rPr>
      <w:rFonts w:ascii="Mundial Thin" w:eastAsia="Mundial Thin" w:hAnsi="Mundial Thin" w:cs="Mundial Thin"/>
    </w:rPr>
    <w:tblPr>
      <w:tblStyleRowBandSize w:val="1"/>
      <w:tblStyleColBandSize w:val="1"/>
      <w:tblCellMar>
        <w:left w:w="115" w:type="dxa"/>
        <w:right w:w="115" w:type="dxa"/>
      </w:tblCellMar>
    </w:tblPr>
    <w:tcPr>
      <w:shd w:val="clear" w:color="auto" w:fill="auto"/>
      <w:vAlign w:val="center"/>
    </w:tcPr>
  </w:style>
  <w:style w:type="character" w:styleId="CommentReference">
    <w:name w:val="annotation reference"/>
    <w:basedOn w:val="DefaultParagraphFont"/>
    <w:uiPriority w:val="99"/>
    <w:semiHidden/>
    <w:unhideWhenUsed/>
    <w:rsid w:val="00EF2451"/>
    <w:rPr>
      <w:sz w:val="16"/>
      <w:szCs w:val="16"/>
    </w:rPr>
  </w:style>
  <w:style w:type="paragraph" w:styleId="CommentText">
    <w:name w:val="annotation text"/>
    <w:basedOn w:val="Normal"/>
    <w:link w:val="CommentTextChar"/>
    <w:uiPriority w:val="99"/>
    <w:unhideWhenUsed/>
    <w:rsid w:val="00EF2451"/>
    <w:rPr>
      <w:sz w:val="20"/>
      <w:szCs w:val="20"/>
    </w:rPr>
  </w:style>
  <w:style w:type="character" w:customStyle="1" w:styleId="CommentTextChar">
    <w:name w:val="Comment Text Char"/>
    <w:basedOn w:val="DefaultParagraphFont"/>
    <w:link w:val="CommentText"/>
    <w:uiPriority w:val="99"/>
    <w:rsid w:val="00EF2451"/>
    <w:rPr>
      <w:rFonts w:asciiTheme="minorHAnsi" w:hAnsiTheme="minorHAnsi"/>
      <w:sz w:val="20"/>
      <w:szCs w:val="20"/>
    </w:rPr>
  </w:style>
  <w:style w:type="paragraph" w:customStyle="1" w:styleId="Deliverabletitle">
    <w:name w:val="Deliverable title"/>
    <w:basedOn w:val="Normal"/>
    <w:next w:val="Documentcoverdate"/>
    <w:qFormat/>
    <w:rsid w:val="00EF2451"/>
    <w:pPr>
      <w:spacing w:after="240"/>
    </w:pPr>
    <w:rPr>
      <w:rFonts w:ascii="Arial" w:eastAsia="MS Mincho" w:hAnsi="Arial" w:cs="Open Sans ExtraBold"/>
      <w:b/>
      <w:color w:val="45A7AA" w:themeColor="accent1"/>
      <w:kern w:val="2"/>
      <w:sz w:val="3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SUNDANSE">
      <a:dk1>
        <a:srgbClr val="1A2323"/>
      </a:dk1>
      <a:lt1>
        <a:srgbClr val="FFFFFF"/>
      </a:lt1>
      <a:dk2>
        <a:srgbClr val="1A2323"/>
      </a:dk2>
      <a:lt2>
        <a:srgbClr val="FFFFFF"/>
      </a:lt2>
      <a:accent1>
        <a:srgbClr val="45A7AA"/>
      </a:accent1>
      <a:accent2>
        <a:srgbClr val="45A7AA"/>
      </a:accent2>
      <a:accent3>
        <a:srgbClr val="F3AF1C"/>
      </a:accent3>
      <a:accent4>
        <a:srgbClr val="F3AF1C"/>
      </a:accent4>
      <a:accent5>
        <a:srgbClr val="0B3837"/>
      </a:accent5>
      <a:accent6>
        <a:srgbClr val="0B3837"/>
      </a:accent6>
      <a:hlink>
        <a:srgbClr val="45A7AA"/>
      </a:hlink>
      <a:folHlink>
        <a:srgbClr val="45A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faultSectionNames xmlns="8d6c21f1-06bf-4a93-b8bb-9ddd1864527f" xsi:nil="true"/>
    <Is_Collaboration_Space_Locked xmlns="8d6c21f1-06bf-4a93-b8bb-9ddd1864527f" xsi:nil="true"/>
    <Teams_Channel_Section_Location xmlns="8d6c21f1-06bf-4a93-b8bb-9ddd1864527f" xsi:nil="true"/>
    <LMS_Mappings xmlns="8d6c21f1-06bf-4a93-b8bb-9ddd1864527f" xsi:nil="true"/>
    <Invited_Leaders xmlns="8d6c21f1-06bf-4a93-b8bb-9ddd1864527f" xsi:nil="true"/>
    <Distribution_Groups xmlns="8d6c21f1-06bf-4a93-b8bb-9ddd1864527f" xsi:nil="true"/>
    <Self_Registration_Enabled xmlns="8d6c21f1-06bf-4a93-b8bb-9ddd1864527f" xsi:nil="true"/>
    <Has_Leaders_Only_SectionGroup xmlns="8d6c21f1-06bf-4a93-b8bb-9ddd1864527f" xsi:nil="true"/>
    <Math_Settings xmlns="8d6c21f1-06bf-4a93-b8bb-9ddd1864527f" xsi:nil="true"/>
    <Templates xmlns="8d6c21f1-06bf-4a93-b8bb-9ddd1864527f" xsi:nil="true"/>
    <Members xmlns="8d6c21f1-06bf-4a93-b8bb-9ddd1864527f">
      <UserInfo>
        <DisplayName/>
        <AccountId xsi:nil="true"/>
        <AccountType/>
      </UserInfo>
    </Members>
    <AppVersion xmlns="8d6c21f1-06bf-4a93-b8bb-9ddd1864527f" xsi:nil="true"/>
    <TeamsChannelId xmlns="8d6c21f1-06bf-4a93-b8bb-9ddd1864527f" xsi:nil="true"/>
    <IsNotebookLocked xmlns="8d6c21f1-06bf-4a93-b8bb-9ddd1864527f" xsi:nil="true"/>
    <TaxCatchAll xmlns="4040be58-80e4-4044-91f0-7cb9b760150c" xsi:nil="true"/>
    <FolderType xmlns="8d6c21f1-06bf-4a93-b8bb-9ddd1864527f" xsi:nil="true"/>
    <Owner xmlns="8d6c21f1-06bf-4a93-b8bb-9ddd1864527f">
      <UserInfo>
        <DisplayName/>
        <AccountId xsi:nil="true"/>
        <AccountType/>
      </UserInfo>
    </Owner>
    <Invited_Members xmlns="8d6c21f1-06bf-4a93-b8bb-9ddd1864527f" xsi:nil="true"/>
    <NotebookType xmlns="8d6c21f1-06bf-4a93-b8bb-9ddd1864527f" xsi:nil="true"/>
    <CultureName xmlns="8d6c21f1-06bf-4a93-b8bb-9ddd1864527f" xsi:nil="true"/>
    <Leaders xmlns="8d6c21f1-06bf-4a93-b8bb-9ddd1864527f">
      <UserInfo>
        <DisplayName/>
        <AccountId xsi:nil="true"/>
        <AccountType/>
      </UserInfo>
    </Leaders>
    <lcf76f155ced4ddcb4097134ff3c332f xmlns="8d6c21f1-06bf-4a93-b8bb-9ddd1864527f">
      <Terms xmlns="http://schemas.microsoft.com/office/infopath/2007/PartnerControls"/>
    </lcf76f155ced4ddcb4097134ff3c332f>
    <Member_Groups xmlns="8d6c21f1-06bf-4a93-b8bb-9ddd1864527f">
      <UserInfo>
        <DisplayName/>
        <AccountId xsi:nil="true"/>
        <AccountType/>
      </UserInfo>
    </Member_Group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SHXF1/+OVqfMcD+PvM4MI/KvYA==">CgMxLjAaHwoBMBIaChgICVIUChJ0YWJsZS4zOGZndHo5OTNtbjc4AHIhMWl6Q1lTSDdMek91dFdaSFhLYmV2a1kycHdza0lFSERw</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205C87C6C91D8C4B9EDA6DAC9A2B7563" ma:contentTypeVersion="34" ma:contentTypeDescription="Create a new document." ma:contentTypeScope="" ma:versionID="c234bf3713dbe704c375f82d2db396b4">
  <xsd:schema xmlns:xsd="http://www.w3.org/2001/XMLSchema" xmlns:xs="http://www.w3.org/2001/XMLSchema" xmlns:p="http://schemas.microsoft.com/office/2006/metadata/properties" xmlns:ns2="8d6c21f1-06bf-4a93-b8bb-9ddd1864527f" xmlns:ns3="4040be58-80e4-4044-91f0-7cb9b760150c" targetNamespace="http://schemas.microsoft.com/office/2006/metadata/properties" ma:root="true" ma:fieldsID="f9c948eaa1a8a52adbf06454288a0ec1" ns2:_="" ns3:_="">
    <xsd:import namespace="8d6c21f1-06bf-4a93-b8bb-9ddd1864527f"/>
    <xsd:import namespace="4040be58-80e4-4044-91f0-7cb9b76015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c21f1-06bf-4a93-b8bb-9ddd18645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2" nillable="true" ma:displayName="Math Settings" ma:internalName="Math_Settings">
      <xsd:simpleType>
        <xsd:restriction base="dms:Text"/>
      </xsd:simpleType>
    </xsd:element>
    <xsd:element name="DefaultSectionNames" ma:index="23" nillable="true" ma:displayName="Default Section Names" ma:internalName="DefaultSectionNames">
      <xsd:simpleType>
        <xsd:restriction base="dms:Note">
          <xsd:maxLength value="255"/>
        </xsd:restriction>
      </xsd:simpleType>
    </xsd:element>
    <xsd:element name="Templates" ma:index="24" nillable="true" ma:displayName="Templates" ma:internalName="Templates">
      <xsd:simpleType>
        <xsd:restriction base="dms:Note">
          <xsd:maxLength value="255"/>
        </xsd:restriction>
      </xsd:simpleType>
    </xsd:element>
    <xsd:element name="Leaders" ma:index="25"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6"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7"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8" nillable="true" ma:displayName="Distribution Groups" ma:internalName="Distribution_Groups">
      <xsd:simpleType>
        <xsd:restriction base="dms:Note">
          <xsd:maxLength value="255"/>
        </xsd:restriction>
      </xsd:simpleType>
    </xsd:element>
    <xsd:element name="LMS_Mappings" ma:index="29" nillable="true" ma:displayName="LMS Mappings" ma:internalName="LMS_Mappings">
      <xsd:simpleType>
        <xsd:restriction base="dms:Note">
          <xsd:maxLength value="255"/>
        </xsd:restriction>
      </xsd:simpleType>
    </xsd:element>
    <xsd:element name="Invited_Leaders" ma:index="30" nillable="true" ma:displayName="Invited Leaders" ma:internalName="Invited_Leaders">
      <xsd:simpleType>
        <xsd:restriction base="dms:Note">
          <xsd:maxLength value="255"/>
        </xsd:restriction>
      </xsd:simpleType>
    </xsd:element>
    <xsd:element name="Invited_Members" ma:index="31" nillable="true" ma:displayName="Invited Members" ma:internalName="Invited_Members">
      <xsd:simpleType>
        <xsd:restriction base="dms:Note">
          <xsd:maxLength value="255"/>
        </xsd:restriction>
      </xsd:simpleType>
    </xsd:element>
    <xsd:element name="Self_Registration_Enabled" ma:index="32" nillable="true" ma:displayName="Self Registration Enabled" ma:internalName="Self_Registration_Enabled">
      <xsd:simpleType>
        <xsd:restriction base="dms:Boolean"/>
      </xsd:simpleType>
    </xsd:element>
    <xsd:element name="Has_Leaders_Only_SectionGroup" ma:index="33" nillable="true" ma:displayName="Has Leaders Only SectionGroup" ma:internalName="Has_Leaders_Only_SectionGroup">
      <xsd:simpleType>
        <xsd:restriction base="dms:Boolean"/>
      </xsd:simpleType>
    </xsd:element>
    <xsd:element name="Is_Collaboration_Space_Locked" ma:index="34" nillable="true" ma:displayName="Is Collaboration Space Locked" ma:internalName="Is_Collaboration_Space_Locked">
      <xsd:simpleType>
        <xsd:restriction base="dms:Boolean"/>
      </xsd:simpleType>
    </xsd:element>
    <xsd:element name="IsNotebookLocked" ma:index="35" nillable="true" ma:displayName="Is Notebook Locked" ma:internalName="IsNotebookLocked">
      <xsd:simpleType>
        <xsd:restriction base="dms:Boolean"/>
      </xsd:simpleType>
    </xsd:element>
    <xsd:element name="Teams_Channel_Section_Location" ma:index="36" nillable="true" ma:displayName="Teams Channel Section Location" ma:internalName="Teams_Channel_Section_Location">
      <xsd:simpleType>
        <xsd:restriction base="dms:Text"/>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8cc70c95-2729-48d4-b598-f5cf3cd28594" ma:termSetId="09814cd3-568e-fe90-9814-8d621ff8fb84" ma:anchorId="fba54fb3-c3e1-fe81-a776-ca4b69148c4d" ma:open="true" ma:isKeyword="false">
      <xsd:complexType>
        <xsd:sequence>
          <xsd:element ref="pc:Terms" minOccurs="0" maxOccurs="1"/>
        </xsd:sequence>
      </xsd:complexType>
    </xsd:element>
    <xsd:element name="MediaServiceOCR" ma:index="40" nillable="true" ma:displayName="Extracted Text" ma:internalName="MediaServiceOCR" ma:readOnly="true">
      <xsd:simpleType>
        <xsd:restriction base="dms:Note">
          <xsd:maxLength value="255"/>
        </xsd:restriction>
      </xsd:simpleType>
    </xsd:element>
    <xsd:element name="MediaServiceLocation" ma:index="4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0be58-80e4-4044-91f0-7cb9b760150c"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1eb33a05-9c7c-4f51-bf53-1df43d630ac2}" ma:internalName="TaxCatchAll" ma:showField="CatchAllData" ma:web="4040be58-80e4-4044-91f0-7cb9b7601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A130F5-C941-4751-8258-FCC307EEB3CD}">
  <ds:schemaRefs>
    <ds:schemaRef ds:uri="http://schemas.microsoft.com/office/2006/metadata/properties"/>
    <ds:schemaRef ds:uri="http://schemas.microsoft.com/office/infopath/2007/PartnerControls"/>
    <ds:schemaRef ds:uri="8d6c21f1-06bf-4a93-b8bb-9ddd1864527f"/>
    <ds:schemaRef ds:uri="4040be58-80e4-4044-91f0-7cb9b760150c"/>
  </ds:schemaRefs>
</ds:datastoreItem>
</file>

<file path=customXml/itemProps2.xml><?xml version="1.0" encoding="utf-8"?>
<ds:datastoreItem xmlns:ds="http://schemas.openxmlformats.org/officeDocument/2006/customXml" ds:itemID="{D55FF48F-352F-C74C-AD7E-8C4EB203A415}">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066715D-B4F9-4156-9A37-45A329F66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c21f1-06bf-4a93-b8bb-9ddd1864527f"/>
    <ds:schemaRef ds:uri="4040be58-80e4-4044-91f0-7cb9b7601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C911DC-BB66-48A0-81E7-2A11D65EA9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1546</Words>
  <Characters>8818</Characters>
  <Application>Microsoft Office Word</Application>
  <DocSecurity>0</DocSecurity>
  <Lines>73</Lines>
  <Paragraphs>20</Paragraphs>
  <ScaleCrop>false</ScaleCrop>
  <Company/>
  <LinksUpToDate>false</LinksUpToDate>
  <CharactersWithSpaces>10344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Relvão</dc:creator>
  <cp:lastModifiedBy>Nika Levikov</cp:lastModifiedBy>
  <cp:revision>2</cp:revision>
  <dcterms:created xsi:type="dcterms:W3CDTF">2026-07-07T10:21:00Z</dcterms:created>
  <dcterms:modified xsi:type="dcterms:W3CDTF">2026-07-07T10:21:00Z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0x010100205C87C6C91D8C4B9EDA6DAC9A2B7563</vt:lpwstr>
  </property>
  <property fmtid="{D5CDD505-2E9C-101B-9397-08002B2CF9AE}" pid="3" name="MediaServiceImageTags">
    <vt:lpwstr/>
  </property>
</Properties>
</file>